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2CF0C4">
      <w:pPr>
        <w:spacing w:line="355" w:lineRule="auto"/>
        <w:rPr>
          <w:rFonts w:ascii="Arial"/>
          <w:sz w:val="21"/>
        </w:rPr>
      </w:pPr>
    </w:p>
    <w:p w14:paraId="51F68706">
      <w:pPr>
        <w:pStyle w:val="2"/>
        <w:spacing w:before="133" w:line="205" w:lineRule="auto"/>
        <w:ind w:left="1605"/>
        <w:outlineLvl w:val="0"/>
        <w:rPr>
          <w:sz w:val="31"/>
          <w:szCs w:val="31"/>
        </w:rPr>
      </w:pPr>
      <w:r>
        <w:rPr>
          <w:b/>
          <w:bCs/>
          <w:spacing w:val="13"/>
          <w:sz w:val="31"/>
          <w:szCs w:val="31"/>
        </w:rPr>
        <w:t>《新青年全球胜任力人才培养计划》</w:t>
      </w:r>
    </w:p>
    <w:p w14:paraId="3E4A85DA">
      <w:pPr>
        <w:pStyle w:val="2"/>
        <w:spacing w:before="311" w:line="202" w:lineRule="auto"/>
        <w:ind w:left="2025"/>
        <w:outlineLvl w:val="0"/>
        <w:rPr>
          <w:sz w:val="71"/>
          <w:szCs w:val="71"/>
        </w:rPr>
      </w:pPr>
      <w:r>
        <w:rPr>
          <w:b/>
          <w:bCs/>
          <w:color w:val="C00000"/>
          <w:spacing w:val="-24"/>
          <w:w w:val="98"/>
          <w:sz w:val="71"/>
          <w:szCs w:val="71"/>
        </w:rPr>
        <w:t>实</w:t>
      </w:r>
      <w:r>
        <w:rPr>
          <w:b/>
          <w:bCs/>
          <w:color w:val="C00000"/>
          <w:spacing w:val="20"/>
          <w:sz w:val="71"/>
          <w:szCs w:val="71"/>
        </w:rPr>
        <w:t xml:space="preserve">  </w:t>
      </w:r>
      <w:r>
        <w:rPr>
          <w:b/>
          <w:bCs/>
          <w:color w:val="C00000"/>
          <w:spacing w:val="-24"/>
          <w:w w:val="98"/>
          <w:sz w:val="71"/>
          <w:szCs w:val="71"/>
        </w:rPr>
        <w:t>施</w:t>
      </w:r>
      <w:r>
        <w:rPr>
          <w:b/>
          <w:bCs/>
          <w:color w:val="C00000"/>
          <w:spacing w:val="13"/>
          <w:sz w:val="71"/>
          <w:szCs w:val="71"/>
        </w:rPr>
        <w:t xml:space="preserve">  </w:t>
      </w:r>
      <w:r>
        <w:rPr>
          <w:b/>
          <w:bCs/>
          <w:color w:val="C00000"/>
          <w:spacing w:val="-24"/>
          <w:w w:val="98"/>
          <w:sz w:val="71"/>
          <w:szCs w:val="71"/>
        </w:rPr>
        <w:t>指</w:t>
      </w:r>
      <w:r>
        <w:rPr>
          <w:b/>
          <w:bCs/>
          <w:color w:val="C00000"/>
          <w:spacing w:val="29"/>
          <w:sz w:val="71"/>
          <w:szCs w:val="71"/>
        </w:rPr>
        <w:t xml:space="preserve">  </w:t>
      </w:r>
      <w:r>
        <w:rPr>
          <w:b/>
          <w:bCs/>
          <w:color w:val="C00000"/>
          <w:spacing w:val="-24"/>
          <w:w w:val="98"/>
          <w:sz w:val="71"/>
          <w:szCs w:val="71"/>
        </w:rPr>
        <w:t>南</w:t>
      </w:r>
    </w:p>
    <w:p w14:paraId="3618CA17">
      <w:pPr>
        <w:pStyle w:val="2"/>
        <w:spacing w:before="180" w:line="196" w:lineRule="auto"/>
        <w:ind w:left="2988"/>
        <w:rPr>
          <w:sz w:val="24"/>
          <w:szCs w:val="24"/>
        </w:rPr>
      </w:pPr>
      <w:r>
        <w:rPr>
          <w:b/>
          <w:bCs/>
          <w:spacing w:val="-11"/>
          <w:sz w:val="24"/>
          <w:szCs w:val="24"/>
        </w:rPr>
        <w:t>（ 2026   ·</w:t>
      </w:r>
      <w:r>
        <w:rPr>
          <w:b/>
          <w:bCs/>
          <w:spacing w:val="71"/>
          <w:w w:val="101"/>
          <w:sz w:val="24"/>
          <w:szCs w:val="24"/>
        </w:rPr>
        <w:t xml:space="preserve"> </w:t>
      </w:r>
      <w:r>
        <w:rPr>
          <w:b/>
          <w:bCs/>
          <w:spacing w:val="-11"/>
          <w:sz w:val="24"/>
          <w:szCs w:val="24"/>
        </w:rPr>
        <w:t>春季学期</w:t>
      </w:r>
      <w:r>
        <w:rPr>
          <w:b/>
          <w:bCs/>
          <w:spacing w:val="-17"/>
          <w:sz w:val="24"/>
          <w:szCs w:val="24"/>
        </w:rPr>
        <w:t xml:space="preserve"> </w:t>
      </w:r>
      <w:r>
        <w:rPr>
          <w:b/>
          <w:bCs/>
          <w:spacing w:val="-11"/>
          <w:sz w:val="24"/>
          <w:szCs w:val="24"/>
        </w:rPr>
        <w:t>）</w:t>
      </w:r>
    </w:p>
    <w:p w14:paraId="429EACF8">
      <w:pPr>
        <w:spacing w:line="387" w:lineRule="auto"/>
        <w:rPr>
          <w:rFonts w:ascii="Arial"/>
          <w:sz w:val="21"/>
        </w:rPr>
      </w:pPr>
    </w:p>
    <w:p w14:paraId="176C4BB6">
      <w:pPr>
        <w:spacing w:before="91" w:line="223" w:lineRule="auto"/>
        <w:ind w:left="571"/>
        <w:rPr>
          <w:rFonts w:ascii="黑体" w:hAnsi="黑体" w:eastAsia="黑体" w:cs="黑体"/>
          <w:sz w:val="28"/>
          <w:szCs w:val="28"/>
        </w:rPr>
      </w:pPr>
      <w:r>
        <w:rPr>
          <w:rFonts w:ascii="黑体" w:hAnsi="黑体" w:eastAsia="黑体" w:cs="黑体"/>
          <w:spacing w:val="-5"/>
          <w:sz w:val="28"/>
          <w:szCs w:val="28"/>
        </w:rPr>
        <w:t>前言</w:t>
      </w:r>
    </w:p>
    <w:p w14:paraId="4EB2231C">
      <w:pPr>
        <w:pStyle w:val="2"/>
        <w:spacing w:before="115" w:line="254" w:lineRule="auto"/>
        <w:ind w:left="14" w:right="264" w:firstLine="547"/>
      </w:pPr>
      <w:r>
        <w:rPr>
          <w:spacing w:val="-11"/>
        </w:rPr>
        <w:t>为深入贯彻落实习近平总书记关于共建“</w:t>
      </w:r>
      <w:r>
        <w:rPr>
          <w:spacing w:val="-53"/>
        </w:rPr>
        <w:t xml:space="preserve"> </w:t>
      </w:r>
      <w:r>
        <w:rPr>
          <w:spacing w:val="-11"/>
        </w:rPr>
        <w:t>一带一路”倡议和构建</w:t>
      </w:r>
      <w:r>
        <w:rPr>
          <w:spacing w:val="-16"/>
          <w:w w:val="97"/>
        </w:rPr>
        <w:t>人类命运共同体理念，认真落实《教育强国建设规划纲要（2024—2035</w:t>
      </w:r>
      <w:r>
        <w:rPr>
          <w:spacing w:val="-12"/>
        </w:rPr>
        <w:t>年）》重要指示精神，</w:t>
      </w:r>
      <w:r>
        <w:rPr>
          <w:spacing w:val="-45"/>
        </w:rPr>
        <w:t xml:space="preserve"> </w:t>
      </w:r>
      <w:r>
        <w:rPr>
          <w:spacing w:val="-12"/>
        </w:rPr>
        <w:t>中国教育国际交流协会（简称交流协会）</w:t>
      </w:r>
      <w:r>
        <w:rPr>
          <w:spacing w:val="-54"/>
        </w:rPr>
        <w:t xml:space="preserve"> </w:t>
      </w:r>
      <w:r>
        <w:rPr>
          <w:spacing w:val="-12"/>
        </w:rPr>
        <w:t>以新</w:t>
      </w:r>
      <w:r>
        <w:rPr>
          <w:spacing w:val="-10"/>
        </w:rPr>
        <w:t>青年全球胜任力人才培养计划（简称新青年计划）为实践探索，助力</w:t>
      </w:r>
      <w:r>
        <w:rPr>
          <w:spacing w:val="-12"/>
        </w:rPr>
        <w:t>国内高校提升高水平国际化人才培养能力。</w:t>
      </w:r>
    </w:p>
    <w:p w14:paraId="1618CB43">
      <w:pPr>
        <w:pStyle w:val="2"/>
        <w:spacing w:before="47" w:line="253" w:lineRule="auto"/>
        <w:ind w:left="17" w:right="264" w:firstLine="534"/>
        <w:jc w:val="both"/>
      </w:pPr>
      <w:r>
        <w:rPr>
          <w:spacing w:val="-11"/>
        </w:rPr>
        <w:t>在交流协会指导下，</w:t>
      </w:r>
      <w:r>
        <w:rPr>
          <w:spacing w:val="-43"/>
        </w:rPr>
        <w:t xml:space="preserve"> </w:t>
      </w:r>
      <w:r>
        <w:rPr>
          <w:spacing w:val="-11"/>
        </w:rPr>
        <w:t>中国教育国际交流研修学院负责新青年计划</w:t>
      </w:r>
      <w:r>
        <w:rPr>
          <w:spacing w:val="-17"/>
        </w:rPr>
        <w:t>的具体实施。新青年计划于2021年10月正式启动， 自实施以来</w:t>
      </w:r>
      <w:r>
        <w:rPr>
          <w:spacing w:val="-29"/>
        </w:rPr>
        <w:t xml:space="preserve"> </w:t>
      </w:r>
      <w:r>
        <w:rPr>
          <w:spacing w:val="-17"/>
        </w:rPr>
        <w:t>，得到</w:t>
      </w:r>
      <w:r>
        <w:rPr>
          <w:spacing w:val="-23"/>
          <w:w w:val="99"/>
        </w:rPr>
        <w:t>了国内高校的普遍认同。目前有165所高校参与该计划，其中69所为“双</w:t>
      </w:r>
      <w:r>
        <w:rPr>
          <w:spacing w:val="-11"/>
        </w:rPr>
        <w:t>一流”和“双一流学科”建设院校。为保障计划的有序</w:t>
      </w:r>
      <w:r>
        <w:rPr>
          <w:spacing w:val="-12"/>
        </w:rPr>
        <w:t>开展</w:t>
      </w:r>
      <w:r>
        <w:rPr>
          <w:spacing w:val="-43"/>
        </w:rPr>
        <w:t xml:space="preserve"> </w:t>
      </w:r>
      <w:r>
        <w:rPr>
          <w:spacing w:val="-12"/>
        </w:rPr>
        <w:t>，并根据</w:t>
      </w:r>
      <w:r>
        <w:rPr>
          <w:spacing w:val="-10"/>
        </w:rPr>
        <w:t>过去几年计划实施过程中积累的经验，特制定本“新青年计划实施指</w:t>
      </w:r>
      <w:r>
        <w:rPr>
          <w:spacing w:val="-16"/>
        </w:rPr>
        <w:t>南2025修</w:t>
      </w:r>
      <w:r>
        <w:rPr>
          <w:rFonts w:ascii="宋体" w:hAnsi="宋体" w:eastAsia="宋体" w:cs="宋体"/>
          <w:spacing w:val="-16"/>
        </w:rPr>
        <w:t>订</w:t>
      </w:r>
      <w:r>
        <w:rPr>
          <w:spacing w:val="-16"/>
        </w:rPr>
        <w:t>版”，供有关院校在计划实施中参考。</w:t>
      </w:r>
    </w:p>
    <w:p w14:paraId="3319FD85">
      <w:pPr>
        <w:spacing w:line="304" w:lineRule="auto"/>
        <w:rPr>
          <w:rFonts w:ascii="Arial"/>
          <w:sz w:val="21"/>
        </w:rPr>
      </w:pPr>
    </w:p>
    <w:p w14:paraId="274FA0D0">
      <w:pPr>
        <w:spacing w:before="92" w:line="224" w:lineRule="auto"/>
        <w:ind w:left="575"/>
        <w:outlineLvl w:val="0"/>
        <w:rPr>
          <w:rFonts w:ascii="黑体" w:hAnsi="黑体" w:eastAsia="黑体" w:cs="黑体"/>
          <w:sz w:val="28"/>
          <w:szCs w:val="28"/>
        </w:rPr>
      </w:pPr>
      <w:r>
        <w:rPr>
          <w:rFonts w:ascii="黑体" w:hAnsi="黑体" w:eastAsia="黑体" w:cs="黑体"/>
          <w:spacing w:val="-3"/>
          <w:sz w:val="28"/>
          <w:szCs w:val="28"/>
        </w:rPr>
        <w:t>一、关于计划</w:t>
      </w:r>
    </w:p>
    <w:p w14:paraId="2BD5421E">
      <w:pPr>
        <w:spacing w:before="184" w:line="215" w:lineRule="auto"/>
        <w:ind w:left="479"/>
        <w:rPr>
          <w:rFonts w:ascii="楷体" w:hAnsi="楷体" w:eastAsia="楷体" w:cs="楷体"/>
          <w:sz w:val="28"/>
          <w:szCs w:val="28"/>
        </w:rPr>
      </w:pPr>
      <w:r>
        <w:rPr>
          <w:rFonts w:ascii="楷体" w:hAnsi="楷体" w:eastAsia="楷体" w:cs="楷体"/>
          <w:sz w:val="28"/>
          <w:szCs w:val="28"/>
        </w:rPr>
        <w:t>（一） 教育理念</w:t>
      </w:r>
    </w:p>
    <w:p w14:paraId="192E039E">
      <w:pPr>
        <w:pStyle w:val="2"/>
        <w:spacing w:before="120" w:line="253" w:lineRule="auto"/>
        <w:ind w:left="16" w:right="159" w:firstLine="545"/>
      </w:pPr>
      <w:r>
        <w:rPr>
          <w:spacing w:val="-16"/>
        </w:rPr>
        <w:t>为贯彻落实《教育强国建设规划纲要（202</w:t>
      </w:r>
      <w:r>
        <w:rPr>
          <w:spacing w:val="-17"/>
        </w:rPr>
        <w:t>4—2035年）</w:t>
      </w:r>
      <w:r>
        <w:rPr>
          <w:spacing w:val="-53"/>
        </w:rPr>
        <w:t xml:space="preserve"> </w:t>
      </w:r>
      <w:r>
        <w:rPr>
          <w:spacing w:val="-17"/>
        </w:rPr>
        <w:t>》关于提</w:t>
      </w:r>
      <w:r>
        <w:rPr>
          <w:spacing w:val="-11"/>
        </w:rPr>
        <w:t>升全球人才培养和集聚能力</w:t>
      </w:r>
      <w:r>
        <w:rPr>
          <w:spacing w:val="-45"/>
        </w:rPr>
        <w:t xml:space="preserve"> </w:t>
      </w:r>
      <w:r>
        <w:rPr>
          <w:spacing w:val="-11"/>
        </w:rPr>
        <w:t>，深化同联合国教科文组织等国际</w:t>
      </w:r>
      <w:r>
        <w:rPr>
          <w:spacing w:val="-12"/>
        </w:rPr>
        <w:t>组织和多边机制合作等指示精神</w:t>
      </w:r>
      <w:r>
        <w:rPr>
          <w:spacing w:val="-38"/>
        </w:rPr>
        <w:t xml:space="preserve"> </w:t>
      </w:r>
      <w:r>
        <w:rPr>
          <w:spacing w:val="-12"/>
        </w:rPr>
        <w:t>，新青年计划坚持将高水平“</w:t>
      </w:r>
      <w:r>
        <w:rPr>
          <w:spacing w:val="-60"/>
        </w:rPr>
        <w:t xml:space="preserve"> </w:t>
      </w:r>
      <w:r>
        <w:rPr>
          <w:spacing w:val="-12"/>
        </w:rPr>
        <w:t>引进来”，让</w:t>
      </w:r>
      <w:r>
        <w:rPr>
          <w:spacing w:val="-13"/>
        </w:rPr>
        <w:t>高质量“走出去”。</w:t>
      </w:r>
      <w:r>
        <w:rPr>
          <w:spacing w:val="-41"/>
        </w:rPr>
        <w:t xml:space="preserve"> </w:t>
      </w:r>
      <w:r>
        <w:rPr>
          <w:spacing w:val="-13"/>
        </w:rPr>
        <w:t>以培养具有家国情怀、</w:t>
      </w:r>
      <w:r>
        <w:rPr>
          <w:spacing w:val="-54"/>
        </w:rPr>
        <w:t xml:space="preserve"> </w:t>
      </w:r>
      <w:r>
        <w:rPr>
          <w:spacing w:val="-13"/>
        </w:rPr>
        <w:t>国际视野、跨文化沟通、</w:t>
      </w:r>
      <w:r>
        <w:rPr>
          <w:spacing w:val="-10"/>
        </w:rPr>
        <w:t>跨学科思维能力的国际化复合型人才为目标，建立了由在地国际化人</w:t>
      </w:r>
      <w:r>
        <w:rPr>
          <w:spacing w:val="-7"/>
          <w:w w:val="99"/>
        </w:rPr>
        <w:t>才培养和海外交流与实践两大培养途径组成的全球胜任力人才培养体</w:t>
      </w:r>
      <w:r>
        <w:rPr>
          <w:spacing w:val="-15"/>
        </w:rPr>
        <w:t>系，帮助学习者提升国际竞争力和在国际组织、大型国企、跨国</w:t>
      </w:r>
      <w:r>
        <w:rPr>
          <w:spacing w:val="-16"/>
        </w:rPr>
        <w:t>公司、</w:t>
      </w:r>
    </w:p>
    <w:p w14:paraId="01E98D9C">
      <w:pPr>
        <w:spacing w:line="253" w:lineRule="auto"/>
        <w:sectPr>
          <w:headerReference r:id="rId5" w:type="default"/>
          <w:pgSz w:w="11906" w:h="16839"/>
          <w:pgMar w:top="1226" w:right="1757" w:bottom="0" w:left="1758" w:header="847" w:footer="0" w:gutter="0"/>
          <w:cols w:space="720" w:num="1"/>
        </w:sectPr>
      </w:pPr>
    </w:p>
    <w:p w14:paraId="70734D7F">
      <w:pPr>
        <w:pStyle w:val="2"/>
        <w:spacing w:before="239" w:line="261" w:lineRule="auto"/>
        <w:ind w:left="10" w:right="293" w:firstLine="21"/>
      </w:pPr>
      <w:r>
        <w:rPr>
          <w:spacing w:val="-12"/>
          <w:w w:val="98"/>
        </w:rPr>
        <w:t>涉外机构、大众传媒以及政府部门等相关岗位的任职就业和工作能力，</w:t>
      </w:r>
      <w:r>
        <w:rPr>
          <w:spacing w:val="-8"/>
        </w:rPr>
        <w:t>包括：</w:t>
      </w:r>
    </w:p>
    <w:p w14:paraId="10A50A92">
      <w:pPr>
        <w:spacing w:before="75" w:line="216" w:lineRule="auto"/>
        <w:ind w:left="479"/>
        <w:rPr>
          <w:rFonts w:ascii="楷体" w:hAnsi="楷体" w:eastAsia="楷体" w:cs="楷体"/>
          <w:sz w:val="28"/>
          <w:szCs w:val="28"/>
        </w:rPr>
      </w:pPr>
      <w:r>
        <w:rPr>
          <w:rFonts w:ascii="楷体" w:hAnsi="楷体" w:eastAsia="楷体" w:cs="楷体"/>
          <w:spacing w:val="3"/>
          <w:sz w:val="28"/>
          <w:szCs w:val="28"/>
        </w:rPr>
        <w:t>（二）</w:t>
      </w:r>
      <w:r>
        <w:rPr>
          <w:rFonts w:ascii="楷体" w:hAnsi="楷体" w:eastAsia="楷体" w:cs="楷体"/>
          <w:spacing w:val="-20"/>
          <w:sz w:val="28"/>
          <w:szCs w:val="28"/>
        </w:rPr>
        <w:t xml:space="preserve"> </w:t>
      </w:r>
      <w:r>
        <w:rPr>
          <w:rFonts w:ascii="楷体" w:hAnsi="楷体" w:eastAsia="楷体" w:cs="楷体"/>
          <w:spacing w:val="3"/>
          <w:sz w:val="28"/>
          <w:szCs w:val="28"/>
        </w:rPr>
        <w:t>培养目标</w:t>
      </w:r>
    </w:p>
    <w:p w14:paraId="79FB6B12">
      <w:pPr>
        <w:pStyle w:val="2"/>
        <w:spacing w:before="125" w:line="201" w:lineRule="auto"/>
        <w:ind w:left="559"/>
      </w:pPr>
      <w:r>
        <w:rPr>
          <w:spacing w:val="-12"/>
        </w:rPr>
        <w:t>新青年计划的具体培养目标为：</w:t>
      </w:r>
    </w:p>
    <w:p w14:paraId="10DCF6FB">
      <w:pPr>
        <w:pStyle w:val="2"/>
        <w:spacing w:before="180" w:line="238" w:lineRule="auto"/>
        <w:ind w:left="15" w:right="378" w:firstLine="509"/>
      </w:pPr>
      <w:r>
        <w:rPr>
          <w:spacing w:val="-9"/>
        </w:rPr>
        <w:t>（1）</w:t>
      </w:r>
      <w:r>
        <w:rPr>
          <w:spacing w:val="53"/>
        </w:rPr>
        <w:t xml:space="preserve"> </w:t>
      </w:r>
      <w:r>
        <w:rPr>
          <w:b/>
          <w:bCs/>
          <w:spacing w:val="-9"/>
        </w:rPr>
        <w:t>厚植家国情怀。</w:t>
      </w:r>
      <w:r>
        <w:rPr>
          <w:spacing w:val="-9"/>
        </w:rPr>
        <w:t>帮助学生正确深入了</w:t>
      </w:r>
      <w:r>
        <w:rPr>
          <w:spacing w:val="-10"/>
        </w:rPr>
        <w:t>解中国改革与发展成</w:t>
      </w:r>
      <w:r>
        <w:rPr>
          <w:spacing w:val="-13"/>
        </w:rPr>
        <w:t>就</w:t>
      </w:r>
      <w:r>
        <w:rPr>
          <w:spacing w:val="-30"/>
        </w:rPr>
        <w:t xml:space="preserve"> </w:t>
      </w:r>
      <w:r>
        <w:rPr>
          <w:spacing w:val="-13"/>
        </w:rPr>
        <w:t>，坚定“</w:t>
      </w:r>
      <w:r>
        <w:rPr>
          <w:spacing w:val="-40"/>
        </w:rPr>
        <w:t xml:space="preserve"> </w:t>
      </w:r>
      <w:r>
        <w:rPr>
          <w:spacing w:val="-13"/>
        </w:rPr>
        <w:t>四个自信”，理解中国故事及其背后的思想力量和精神力</w:t>
      </w:r>
      <w:r>
        <w:rPr>
          <w:spacing w:val="-12"/>
        </w:rPr>
        <w:t>量</w:t>
      </w:r>
      <w:r>
        <w:rPr>
          <w:spacing w:val="-44"/>
        </w:rPr>
        <w:t xml:space="preserve"> </w:t>
      </w:r>
      <w:r>
        <w:rPr>
          <w:spacing w:val="-12"/>
        </w:rPr>
        <w:t>；深化对构建人类命运共同体和“</w:t>
      </w:r>
      <w:r>
        <w:rPr>
          <w:spacing w:val="-56"/>
        </w:rPr>
        <w:t xml:space="preserve"> </w:t>
      </w:r>
      <w:r>
        <w:rPr>
          <w:spacing w:val="-12"/>
        </w:rPr>
        <w:t>一带一路”倡议的认识，增强人</w:t>
      </w:r>
      <w:r>
        <w:rPr>
          <w:spacing w:val="-11"/>
        </w:rPr>
        <w:t>类命运共同体意识。</w:t>
      </w:r>
    </w:p>
    <w:p w14:paraId="535E5D70">
      <w:pPr>
        <w:pStyle w:val="2"/>
        <w:spacing w:before="131" w:line="214" w:lineRule="auto"/>
        <w:ind w:left="15" w:firstLine="509"/>
      </w:pPr>
      <w:r>
        <w:rPr>
          <w:spacing w:val="-10"/>
        </w:rPr>
        <w:t>（2）</w:t>
      </w:r>
      <w:r>
        <w:rPr>
          <w:spacing w:val="47"/>
        </w:rPr>
        <w:t xml:space="preserve"> </w:t>
      </w:r>
      <w:r>
        <w:rPr>
          <w:b/>
          <w:bCs/>
          <w:spacing w:val="-10"/>
        </w:rPr>
        <w:t>增强国际理解。</w:t>
      </w:r>
      <w:r>
        <w:rPr>
          <w:b/>
          <w:bCs/>
          <w:spacing w:val="-53"/>
        </w:rPr>
        <w:t xml:space="preserve"> </w:t>
      </w:r>
      <w:r>
        <w:rPr>
          <w:spacing w:val="-10"/>
        </w:rPr>
        <w:t>了解世界各国的历史、文化、经济与社会发</w:t>
      </w:r>
      <w:r>
        <w:rPr>
          <w:spacing w:val="-11"/>
        </w:rPr>
        <w:t>展；提升对多边主义和国际合作的认识；</w:t>
      </w:r>
      <w:r>
        <w:rPr>
          <w:spacing w:val="-38"/>
        </w:rPr>
        <w:t xml:space="preserve"> </w:t>
      </w:r>
      <w:r>
        <w:rPr>
          <w:spacing w:val="-11"/>
        </w:rPr>
        <w:t>了解国际组织；理解全球政治</w:t>
      </w:r>
      <w:r>
        <w:rPr>
          <w:spacing w:val="-12"/>
          <w:w w:val="99"/>
        </w:rPr>
        <w:t>和文化差异；关注并理解能源、环境、公共卫生、安全等全球热点议题。</w:t>
      </w:r>
    </w:p>
    <w:p w14:paraId="7814C367">
      <w:pPr>
        <w:pStyle w:val="2"/>
        <w:spacing w:before="39" w:line="216" w:lineRule="auto"/>
        <w:ind w:left="15" w:right="17" w:firstLine="509"/>
      </w:pPr>
      <w:r>
        <w:rPr>
          <w:spacing w:val="-16"/>
        </w:rPr>
        <w:t>（3）</w:t>
      </w:r>
      <w:r>
        <w:rPr>
          <w:spacing w:val="72"/>
          <w:w w:val="101"/>
        </w:rPr>
        <w:t xml:space="preserve"> </w:t>
      </w:r>
      <w:r>
        <w:rPr>
          <w:b/>
          <w:bCs/>
          <w:spacing w:val="-16"/>
        </w:rPr>
        <w:t>学会跨文化沟通。</w:t>
      </w:r>
      <w:r>
        <w:rPr>
          <w:spacing w:val="-16"/>
        </w:rPr>
        <w:t>学会如何讲好中国故事，传播好中国声音，</w:t>
      </w:r>
      <w:r>
        <w:rPr>
          <w:spacing w:val="-10"/>
        </w:rPr>
        <w:t>展示真实、客观、全面的中国；提升学生与不同文化背景的人友好互动的能力；学习如何在国际交往中把握好原则性与灵活性的平衡；提高在国际交往中化解冲突与矛盾的能力；提高国际学术表述能力；提升国际</w:t>
      </w:r>
      <w:r>
        <w:rPr>
          <w:spacing w:val="-11"/>
        </w:rPr>
        <w:t>竞争能力。</w:t>
      </w:r>
    </w:p>
    <w:p w14:paraId="7B9C7436">
      <w:pPr>
        <w:pStyle w:val="2"/>
        <w:spacing w:before="33" w:line="216" w:lineRule="auto"/>
        <w:ind w:left="17" w:right="102" w:firstLine="507"/>
      </w:pPr>
      <w:r>
        <w:rPr>
          <w:spacing w:val="-9"/>
        </w:rPr>
        <w:t>（4）</w:t>
      </w:r>
      <w:r>
        <w:rPr>
          <w:spacing w:val="49"/>
        </w:rPr>
        <w:t xml:space="preserve"> </w:t>
      </w:r>
      <w:r>
        <w:rPr>
          <w:b/>
          <w:bCs/>
          <w:spacing w:val="-9"/>
        </w:rPr>
        <w:t>把握科技与交叉领域的发展机遇。</w:t>
      </w:r>
      <w:r>
        <w:rPr>
          <w:spacing w:val="-9"/>
        </w:rPr>
        <w:t>主动适应科技创新趋势；</w:t>
      </w:r>
      <w:r>
        <w:rPr>
          <w:spacing w:val="-11"/>
        </w:rPr>
        <w:t>积极参与交叉学科学习与活动，培养跨学科思维能力，打破学科壁垒、</w:t>
      </w:r>
      <w:r>
        <w:rPr>
          <w:spacing w:val="-10"/>
        </w:rPr>
        <w:t>贯通学科内容、融合学科优势，探索协同创新方向，培养未来科创领军人才。</w:t>
      </w:r>
    </w:p>
    <w:p w14:paraId="36F4EEB3">
      <w:pPr>
        <w:spacing w:before="116" w:line="217" w:lineRule="auto"/>
        <w:ind w:left="479"/>
        <w:rPr>
          <w:rFonts w:ascii="楷体" w:hAnsi="楷体" w:eastAsia="楷体" w:cs="楷体"/>
          <w:sz w:val="28"/>
          <w:szCs w:val="28"/>
        </w:rPr>
      </w:pPr>
      <w:r>
        <w:rPr>
          <w:rFonts w:ascii="楷体" w:hAnsi="楷体" w:eastAsia="楷体" w:cs="楷体"/>
          <w:spacing w:val="-4"/>
          <w:sz w:val="28"/>
          <w:szCs w:val="28"/>
        </w:rPr>
        <w:t>（</w:t>
      </w:r>
      <w:r>
        <w:rPr>
          <w:rFonts w:ascii="楷体" w:hAnsi="楷体" w:eastAsia="楷体" w:cs="楷体"/>
          <w:spacing w:val="-71"/>
          <w:sz w:val="28"/>
          <w:szCs w:val="28"/>
        </w:rPr>
        <w:t xml:space="preserve"> </w:t>
      </w:r>
      <w:r>
        <w:rPr>
          <w:rFonts w:ascii="楷体" w:hAnsi="楷体" w:eastAsia="楷体" w:cs="楷体"/>
          <w:spacing w:val="-4"/>
          <w:sz w:val="28"/>
          <w:szCs w:val="28"/>
        </w:rPr>
        <w:t>三） 在地国际化和海外交流与实践</w:t>
      </w:r>
    </w:p>
    <w:p w14:paraId="5CC1F0B6">
      <w:pPr>
        <w:pStyle w:val="2"/>
        <w:spacing w:before="39" w:line="209" w:lineRule="auto"/>
        <w:ind w:left="21" w:right="102" w:firstLine="530"/>
        <w:jc w:val="both"/>
      </w:pPr>
      <w:r>
        <w:rPr>
          <w:spacing w:val="-10"/>
        </w:rPr>
        <w:t>本计划培养体系主要包括在地国际化人才培养和海外交流与实践，为学生和教师提供多方位全球胜任力养成路径，助力高校有效落实多元</w:t>
      </w:r>
      <w:r>
        <w:rPr>
          <w:spacing w:val="-12"/>
        </w:rPr>
        <w:t>化人才培养和国际交流合作。</w:t>
      </w:r>
    </w:p>
    <w:p w14:paraId="00EB988D">
      <w:pPr>
        <w:spacing w:line="255" w:lineRule="auto"/>
        <w:rPr>
          <w:rFonts w:ascii="Arial"/>
          <w:sz w:val="21"/>
        </w:rPr>
      </w:pPr>
    </w:p>
    <w:p w14:paraId="75BD0A1E">
      <w:pPr>
        <w:pStyle w:val="2"/>
        <w:spacing w:before="103" w:line="200" w:lineRule="auto"/>
        <w:ind w:left="1633"/>
        <w:outlineLvl w:val="1"/>
        <w:rPr>
          <w:sz w:val="24"/>
          <w:szCs w:val="24"/>
        </w:rPr>
      </w:pPr>
      <w:r>
        <w:rPr>
          <w:spacing w:val="-3"/>
          <w:sz w:val="24"/>
          <w:szCs w:val="24"/>
        </w:rPr>
        <w:t>图表1</w:t>
      </w:r>
      <w:r>
        <w:rPr>
          <w:spacing w:val="-18"/>
          <w:sz w:val="24"/>
          <w:szCs w:val="24"/>
        </w:rPr>
        <w:t xml:space="preserve"> </w:t>
      </w:r>
      <w:r>
        <w:rPr>
          <w:spacing w:val="-3"/>
          <w:sz w:val="24"/>
          <w:szCs w:val="24"/>
        </w:rPr>
        <w:t>：新青年全球胜任力人才培养计划主要构成</w:t>
      </w:r>
    </w:p>
    <w:tbl>
      <w:tblPr>
        <w:tblStyle w:val="6"/>
        <w:tblW w:w="8084" w:type="dxa"/>
        <w:tblInd w:w="152" w:type="dxa"/>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Layout w:type="fixed"/>
        <w:tblCellMar>
          <w:top w:w="0" w:type="dxa"/>
          <w:left w:w="0" w:type="dxa"/>
          <w:bottom w:w="0" w:type="dxa"/>
          <w:right w:w="0" w:type="dxa"/>
        </w:tblCellMar>
      </w:tblPr>
      <w:tblGrid>
        <w:gridCol w:w="2101"/>
        <w:gridCol w:w="2295"/>
        <w:gridCol w:w="1926"/>
        <w:gridCol w:w="1762"/>
      </w:tblGrid>
      <w:tr w14:paraId="50FB0A45">
        <w:tblPrEx>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CellMar>
            <w:top w:w="0" w:type="dxa"/>
            <w:left w:w="0" w:type="dxa"/>
            <w:bottom w:w="0" w:type="dxa"/>
            <w:right w:w="0" w:type="dxa"/>
          </w:tblCellMar>
        </w:tblPrEx>
        <w:trPr>
          <w:trHeight w:val="413" w:hRule="atLeast"/>
        </w:trPr>
        <w:tc>
          <w:tcPr>
            <w:tcW w:w="4396" w:type="dxa"/>
            <w:gridSpan w:val="2"/>
            <w:shd w:val="clear" w:color="auto" w:fill="D9E2F3"/>
            <w:vAlign w:val="top"/>
          </w:tcPr>
          <w:p w14:paraId="415283D0">
            <w:pPr>
              <w:pStyle w:val="7"/>
              <w:spacing w:before="50" w:line="176" w:lineRule="auto"/>
              <w:ind w:left="1807"/>
            </w:pPr>
            <w:r>
              <w:rPr>
                <w:b/>
                <w:bCs/>
                <w:spacing w:val="-10"/>
              </w:rPr>
              <w:t>在地国际化</w:t>
            </w:r>
          </w:p>
        </w:tc>
        <w:tc>
          <w:tcPr>
            <w:tcW w:w="3688" w:type="dxa"/>
            <w:gridSpan w:val="2"/>
            <w:shd w:val="clear" w:color="auto" w:fill="D9E2F3"/>
            <w:vAlign w:val="top"/>
          </w:tcPr>
          <w:p w14:paraId="6675987E">
            <w:pPr>
              <w:pStyle w:val="7"/>
              <w:spacing w:before="50" w:line="176" w:lineRule="auto"/>
              <w:ind w:left="668"/>
            </w:pPr>
            <w:r>
              <w:rPr>
                <w:b/>
                <w:bCs/>
                <w:spacing w:val="-8"/>
                <w:w w:val="98"/>
              </w:rPr>
              <w:t>海外交流与实践</w:t>
            </w:r>
          </w:p>
        </w:tc>
      </w:tr>
      <w:tr w14:paraId="33F93504">
        <w:tblPrEx>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CellMar>
            <w:top w:w="0" w:type="dxa"/>
            <w:left w:w="0" w:type="dxa"/>
            <w:bottom w:w="0" w:type="dxa"/>
            <w:right w:w="0" w:type="dxa"/>
          </w:tblCellMar>
        </w:tblPrEx>
        <w:trPr>
          <w:trHeight w:val="410" w:hRule="atLeast"/>
        </w:trPr>
        <w:tc>
          <w:tcPr>
            <w:tcW w:w="2101" w:type="dxa"/>
            <w:vAlign w:val="top"/>
          </w:tcPr>
          <w:p w14:paraId="49831271">
            <w:pPr>
              <w:pStyle w:val="7"/>
              <w:spacing w:before="47" w:line="176" w:lineRule="auto"/>
              <w:ind w:left="672"/>
            </w:pPr>
            <w:r>
              <w:rPr>
                <w:b/>
                <w:bCs/>
                <w:spacing w:val="-7"/>
                <w:w w:val="97"/>
              </w:rPr>
              <w:t>线上课堂</w:t>
            </w:r>
          </w:p>
        </w:tc>
        <w:tc>
          <w:tcPr>
            <w:tcW w:w="2295" w:type="dxa"/>
            <w:vAlign w:val="top"/>
          </w:tcPr>
          <w:p w14:paraId="5053A61C">
            <w:pPr>
              <w:pStyle w:val="7"/>
              <w:spacing w:before="47" w:line="176" w:lineRule="auto"/>
              <w:ind w:left="671"/>
            </w:pPr>
            <w:r>
              <w:rPr>
                <w:b/>
                <w:bCs/>
                <w:spacing w:val="-7"/>
                <w:w w:val="97"/>
              </w:rPr>
              <w:t>线下课堂</w:t>
            </w:r>
          </w:p>
        </w:tc>
        <w:tc>
          <w:tcPr>
            <w:tcW w:w="1926" w:type="dxa"/>
            <w:vAlign w:val="top"/>
          </w:tcPr>
          <w:p w14:paraId="3A7596EC">
            <w:pPr>
              <w:pStyle w:val="7"/>
              <w:spacing w:before="47" w:line="176" w:lineRule="auto"/>
              <w:ind w:left="673"/>
            </w:pPr>
            <w:r>
              <w:rPr>
                <w:b/>
                <w:bCs/>
                <w:spacing w:val="-9"/>
                <w:w w:val="98"/>
              </w:rPr>
              <w:t>线上</w:t>
            </w:r>
          </w:p>
        </w:tc>
        <w:tc>
          <w:tcPr>
            <w:tcW w:w="1762" w:type="dxa"/>
            <w:vAlign w:val="top"/>
          </w:tcPr>
          <w:p w14:paraId="131E9EDD">
            <w:pPr>
              <w:pStyle w:val="7"/>
              <w:spacing w:before="47" w:line="176" w:lineRule="auto"/>
              <w:ind w:left="674"/>
            </w:pPr>
            <w:r>
              <w:rPr>
                <w:b/>
                <w:bCs/>
                <w:spacing w:val="-9"/>
                <w:w w:val="98"/>
              </w:rPr>
              <w:t>线下</w:t>
            </w:r>
          </w:p>
        </w:tc>
      </w:tr>
      <w:tr w14:paraId="534BA095">
        <w:tblPrEx>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CellMar>
            <w:top w:w="0" w:type="dxa"/>
            <w:left w:w="0" w:type="dxa"/>
            <w:bottom w:w="0" w:type="dxa"/>
            <w:right w:w="0" w:type="dxa"/>
          </w:tblCellMar>
        </w:tblPrEx>
        <w:trPr>
          <w:trHeight w:val="1233" w:hRule="atLeast"/>
        </w:trPr>
        <w:tc>
          <w:tcPr>
            <w:tcW w:w="2101" w:type="dxa"/>
            <w:vAlign w:val="top"/>
          </w:tcPr>
          <w:p w14:paraId="3F7A1EA7">
            <w:pPr>
              <w:pStyle w:val="7"/>
              <w:spacing w:before="47" w:line="201" w:lineRule="auto"/>
              <w:ind w:left="120"/>
            </w:pPr>
            <w:r>
              <w:rPr>
                <w:spacing w:val="-21"/>
              </w:rPr>
              <w:t>12</w:t>
            </w:r>
            <w:r>
              <w:rPr>
                <w:spacing w:val="22"/>
              </w:rPr>
              <w:t xml:space="preserve"> </w:t>
            </w:r>
            <w:r>
              <w:rPr>
                <w:spacing w:val="-21"/>
              </w:rPr>
              <w:t>门核心课程、</w:t>
            </w:r>
          </w:p>
          <w:p w14:paraId="0DCC98CA">
            <w:pPr>
              <w:pStyle w:val="7"/>
              <w:spacing w:before="4" w:line="192" w:lineRule="auto"/>
              <w:ind w:left="122" w:right="99" w:hanging="2"/>
            </w:pPr>
            <w:r>
              <w:rPr>
                <w:spacing w:val="-27"/>
              </w:rPr>
              <w:t>1</w:t>
            </w:r>
            <w:r>
              <w:rPr>
                <w:spacing w:val="27"/>
              </w:rPr>
              <w:t xml:space="preserve"> </w:t>
            </w:r>
            <w:r>
              <w:rPr>
                <w:spacing w:val="-27"/>
              </w:rPr>
              <w:t>门公益微课+9</w:t>
            </w:r>
            <w:r>
              <w:rPr>
                <w:spacing w:val="-7"/>
                <w:w w:val="98"/>
              </w:rPr>
              <w:t>场以上前沿讲座</w:t>
            </w:r>
          </w:p>
        </w:tc>
        <w:tc>
          <w:tcPr>
            <w:tcW w:w="2295" w:type="dxa"/>
            <w:vAlign w:val="top"/>
          </w:tcPr>
          <w:p w14:paraId="5F4D56A7">
            <w:pPr>
              <w:pStyle w:val="7"/>
              <w:spacing w:before="45" w:line="196" w:lineRule="auto"/>
              <w:ind w:left="118" w:right="90" w:firstLine="8"/>
              <w:jc w:val="both"/>
            </w:pPr>
            <w:r>
              <w:rPr>
                <w:spacing w:val="-13"/>
                <w:w w:val="97"/>
              </w:rPr>
              <w:t>新青年工作坊、学</w:t>
            </w:r>
            <w:r>
              <w:rPr>
                <w:spacing w:val="-20"/>
              </w:rPr>
              <w:t>术研究、国内教师</w:t>
            </w:r>
            <w:r>
              <w:rPr>
                <w:spacing w:val="-7"/>
              </w:rPr>
              <w:t>研修</w:t>
            </w:r>
          </w:p>
        </w:tc>
        <w:tc>
          <w:tcPr>
            <w:tcW w:w="1926" w:type="dxa"/>
            <w:tcBorders>
              <w:right w:val="nil"/>
            </w:tcBorders>
            <w:vAlign w:val="top"/>
          </w:tcPr>
          <w:p w14:paraId="4247B379">
            <w:pPr>
              <w:spacing w:line="331" w:lineRule="auto"/>
              <w:rPr>
                <w:rFonts w:ascii="Arial"/>
                <w:sz w:val="21"/>
              </w:rPr>
            </w:pPr>
          </w:p>
          <w:p w14:paraId="5B002674">
            <w:pPr>
              <w:pStyle w:val="7"/>
              <w:spacing w:before="120" w:line="200" w:lineRule="auto"/>
              <w:jc w:val="right"/>
            </w:pPr>
            <w:r>
              <w:rPr>
                <w:spacing w:val="-18"/>
              </w:rPr>
              <w:t>9 项以上国内</w:t>
            </w:r>
            <w:r>
              <w:rPr>
                <w:spacing w:val="-2"/>
              </w:rPr>
              <w:t>外</w:t>
            </w:r>
          </w:p>
        </w:tc>
        <w:tc>
          <w:tcPr>
            <w:tcW w:w="1762" w:type="dxa"/>
            <w:tcBorders>
              <w:left w:val="nil"/>
            </w:tcBorders>
            <w:vAlign w:val="top"/>
          </w:tcPr>
          <w:p w14:paraId="415F6822">
            <w:pPr>
              <w:spacing w:line="330" w:lineRule="auto"/>
              <w:rPr>
                <w:rFonts w:ascii="Arial"/>
                <w:sz w:val="21"/>
              </w:rPr>
            </w:pPr>
          </w:p>
          <w:p w14:paraId="52A19E0D">
            <w:pPr>
              <w:pStyle w:val="7"/>
              <w:spacing w:before="120" w:line="201" w:lineRule="auto"/>
              <w:ind w:left="14"/>
            </w:pPr>
            <w:r>
              <w:rPr>
                <w:spacing w:val="-6"/>
                <w:w w:val="97"/>
              </w:rPr>
              <w:t>实践活动</w:t>
            </w:r>
          </w:p>
        </w:tc>
      </w:tr>
    </w:tbl>
    <w:p w14:paraId="14824243">
      <w:pPr>
        <w:rPr>
          <w:rFonts w:ascii="Arial"/>
          <w:sz w:val="21"/>
        </w:rPr>
      </w:pPr>
    </w:p>
    <w:p w14:paraId="54999633">
      <w:pPr>
        <w:rPr>
          <w:rFonts w:ascii="Arial" w:hAnsi="Arial" w:eastAsia="Arial" w:cs="Arial"/>
          <w:sz w:val="21"/>
          <w:szCs w:val="21"/>
        </w:rPr>
        <w:sectPr>
          <w:headerReference r:id="rId6" w:type="default"/>
          <w:footerReference r:id="rId7" w:type="default"/>
          <w:pgSz w:w="11906" w:h="16839"/>
          <w:pgMar w:top="1226" w:right="1644" w:bottom="676" w:left="1758" w:header="847" w:footer="512" w:gutter="0"/>
          <w:cols w:space="720" w:num="1"/>
        </w:sectPr>
      </w:pPr>
    </w:p>
    <w:p w14:paraId="7CF12D73">
      <w:pPr>
        <w:spacing w:line="196" w:lineRule="exact"/>
      </w:pPr>
    </w:p>
    <w:tbl>
      <w:tblPr>
        <w:tblStyle w:val="6"/>
        <w:tblW w:w="8084" w:type="dxa"/>
        <w:tblInd w:w="155" w:type="dxa"/>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Layout w:type="fixed"/>
        <w:tblCellMar>
          <w:top w:w="0" w:type="dxa"/>
          <w:left w:w="0" w:type="dxa"/>
          <w:bottom w:w="0" w:type="dxa"/>
          <w:right w:w="0" w:type="dxa"/>
        </w:tblCellMar>
      </w:tblPr>
      <w:tblGrid>
        <w:gridCol w:w="2101"/>
        <w:gridCol w:w="2296"/>
        <w:gridCol w:w="3687"/>
      </w:tblGrid>
      <w:tr w14:paraId="3771DFA3">
        <w:tblPrEx>
          <w:tblBorders>
            <w:top w:val="single" w:color="8EAADB" w:sz="2" w:space="0"/>
            <w:left w:val="single" w:color="8EAADB" w:sz="2" w:space="0"/>
            <w:bottom w:val="single" w:color="8EAADB" w:sz="2" w:space="0"/>
            <w:right w:val="single" w:color="8EAADB" w:sz="2" w:space="0"/>
            <w:insideH w:val="single" w:color="8EAADB" w:sz="2" w:space="0"/>
            <w:insideV w:val="single" w:color="8EAADB" w:sz="2" w:space="0"/>
          </w:tblBorders>
          <w:tblCellMar>
            <w:top w:w="0" w:type="dxa"/>
            <w:left w:w="0" w:type="dxa"/>
            <w:bottom w:w="0" w:type="dxa"/>
            <w:right w:w="0" w:type="dxa"/>
          </w:tblCellMar>
        </w:tblPrEx>
        <w:trPr>
          <w:trHeight w:val="642" w:hRule="atLeast"/>
        </w:trPr>
        <w:tc>
          <w:tcPr>
            <w:tcW w:w="2101" w:type="dxa"/>
            <w:vAlign w:val="top"/>
          </w:tcPr>
          <w:p w14:paraId="16B14BFA">
            <w:pPr>
              <w:rPr>
                <w:rFonts w:ascii="Arial"/>
                <w:sz w:val="21"/>
              </w:rPr>
            </w:pPr>
          </w:p>
        </w:tc>
        <w:tc>
          <w:tcPr>
            <w:tcW w:w="2296" w:type="dxa"/>
            <w:vAlign w:val="top"/>
          </w:tcPr>
          <w:p w14:paraId="593A4815">
            <w:pPr>
              <w:pStyle w:val="7"/>
              <w:spacing w:before="50" w:line="197" w:lineRule="auto"/>
              <w:ind w:right="15"/>
              <w:jc w:val="right"/>
            </w:pPr>
            <w:r>
              <w:rPr>
                <w:spacing w:val="-6"/>
              </w:rPr>
              <w:t>（视情选做）</w:t>
            </w:r>
          </w:p>
        </w:tc>
        <w:tc>
          <w:tcPr>
            <w:tcW w:w="3687" w:type="dxa"/>
            <w:vAlign w:val="top"/>
          </w:tcPr>
          <w:p w14:paraId="522031DD">
            <w:pPr>
              <w:rPr>
                <w:rFonts w:ascii="Arial"/>
                <w:sz w:val="21"/>
              </w:rPr>
            </w:pPr>
          </w:p>
        </w:tc>
      </w:tr>
    </w:tbl>
    <w:p w14:paraId="2E9D23E8">
      <w:pPr>
        <w:spacing w:line="354" w:lineRule="auto"/>
        <w:rPr>
          <w:rFonts w:ascii="Arial"/>
          <w:sz w:val="21"/>
        </w:rPr>
      </w:pPr>
    </w:p>
    <w:p w14:paraId="20EEF99F">
      <w:pPr>
        <w:spacing w:before="91" w:line="220" w:lineRule="auto"/>
        <w:ind w:left="481"/>
        <w:rPr>
          <w:rFonts w:ascii="楷体" w:hAnsi="楷体" w:eastAsia="楷体" w:cs="楷体"/>
          <w:sz w:val="28"/>
          <w:szCs w:val="28"/>
        </w:rPr>
      </w:pPr>
      <w:r>
        <w:rPr>
          <w:rFonts w:ascii="楷体" w:hAnsi="楷体" w:eastAsia="楷体" w:cs="楷体"/>
          <w:spacing w:val="-9"/>
          <w:sz w:val="28"/>
          <w:szCs w:val="28"/>
        </w:rPr>
        <w:t>（</w:t>
      </w:r>
      <w:r>
        <w:rPr>
          <w:rFonts w:ascii="楷体" w:hAnsi="楷体" w:eastAsia="楷体" w:cs="楷体"/>
          <w:spacing w:val="-67"/>
          <w:sz w:val="28"/>
          <w:szCs w:val="28"/>
        </w:rPr>
        <w:t xml:space="preserve"> </w:t>
      </w:r>
      <w:r>
        <w:rPr>
          <w:rFonts w:ascii="楷体" w:hAnsi="楷体" w:eastAsia="楷体" w:cs="楷体"/>
          <w:spacing w:val="-9"/>
          <w:sz w:val="28"/>
          <w:szCs w:val="28"/>
        </w:rPr>
        <w:t>四） 计划要点</w:t>
      </w:r>
    </w:p>
    <w:p w14:paraId="4D02CA47">
      <w:pPr>
        <w:pStyle w:val="2"/>
        <w:spacing w:before="57" w:line="206" w:lineRule="auto"/>
        <w:ind w:left="24"/>
      </w:pPr>
      <w:r>
        <w:rPr>
          <w:rFonts w:ascii="Wingdings" w:hAnsi="Wingdings" w:eastAsia="Wingdings" w:cs="Wingdings"/>
          <w:spacing w:val="-14"/>
        </w:rPr>
        <w:t xml:space="preserve">l </w:t>
      </w:r>
      <w:r>
        <w:rPr>
          <w:spacing w:val="-14"/>
        </w:rPr>
        <w:t>计划名称：新青年全球胜任力人才培养计划。</w:t>
      </w:r>
    </w:p>
    <w:p w14:paraId="5772DD3A">
      <w:pPr>
        <w:pStyle w:val="2"/>
        <w:spacing w:before="26" w:line="206" w:lineRule="auto"/>
        <w:ind w:left="24"/>
      </w:pPr>
      <w:r>
        <w:rPr>
          <w:rFonts w:ascii="Wingdings" w:hAnsi="Wingdings" w:eastAsia="Wingdings" w:cs="Wingdings"/>
          <w:spacing w:val="-17"/>
        </w:rPr>
        <w:t xml:space="preserve">l </w:t>
      </w:r>
      <w:r>
        <w:rPr>
          <w:spacing w:val="-17"/>
        </w:rPr>
        <w:t>主办机构：</w:t>
      </w:r>
      <w:r>
        <w:rPr>
          <w:spacing w:val="-39"/>
        </w:rPr>
        <w:t xml:space="preserve"> </w:t>
      </w:r>
      <w:r>
        <w:rPr>
          <w:spacing w:val="-17"/>
        </w:rPr>
        <w:t>中国教育国际交流协会。</w:t>
      </w:r>
    </w:p>
    <w:p w14:paraId="52978D90">
      <w:pPr>
        <w:pStyle w:val="2"/>
        <w:spacing w:before="29" w:line="205" w:lineRule="auto"/>
        <w:ind w:left="24"/>
      </w:pPr>
      <w:r>
        <w:rPr>
          <w:rFonts w:ascii="Wingdings" w:hAnsi="Wingdings" w:eastAsia="Wingdings" w:cs="Wingdings"/>
          <w:spacing w:val="-15"/>
        </w:rPr>
        <w:t xml:space="preserve">l </w:t>
      </w:r>
      <w:r>
        <w:rPr>
          <w:spacing w:val="-15"/>
        </w:rPr>
        <w:t>执行机构：</w:t>
      </w:r>
      <w:r>
        <w:rPr>
          <w:spacing w:val="-43"/>
        </w:rPr>
        <w:t xml:space="preserve"> </w:t>
      </w:r>
      <w:r>
        <w:rPr>
          <w:spacing w:val="-15"/>
        </w:rPr>
        <w:t>中国教育国际交流研修学院及</w:t>
      </w:r>
      <w:r>
        <w:rPr>
          <w:spacing w:val="-16"/>
        </w:rPr>
        <w:t>其合作机构。</w:t>
      </w:r>
    </w:p>
    <w:p w14:paraId="52E8C15A">
      <w:pPr>
        <w:pStyle w:val="2"/>
        <w:spacing w:before="28" w:line="206" w:lineRule="auto"/>
        <w:ind w:left="24"/>
      </w:pPr>
      <w:r>
        <w:rPr>
          <w:rFonts w:ascii="Wingdings" w:hAnsi="Wingdings" w:eastAsia="Wingdings" w:cs="Wingdings"/>
          <w:spacing w:val="-13"/>
        </w:rPr>
        <w:t>l</w:t>
      </w:r>
      <w:r>
        <w:rPr>
          <w:rFonts w:ascii="Wingdings" w:hAnsi="Wingdings" w:eastAsia="Wingdings" w:cs="Wingdings"/>
          <w:spacing w:val="-47"/>
        </w:rPr>
        <w:t xml:space="preserve"> </w:t>
      </w:r>
      <w:r>
        <w:rPr>
          <w:spacing w:val="-13"/>
        </w:rPr>
        <w:t>课程类别：通识课程。</w:t>
      </w:r>
    </w:p>
    <w:p w14:paraId="367E5136">
      <w:pPr>
        <w:pStyle w:val="2"/>
        <w:spacing w:before="29" w:line="210" w:lineRule="auto"/>
        <w:ind w:left="442" w:right="84" w:hanging="418"/>
      </w:pPr>
      <w:r>
        <w:rPr>
          <w:rFonts w:ascii="Wingdings" w:hAnsi="Wingdings" w:eastAsia="Wingdings" w:cs="Wingdings"/>
          <w:spacing w:val="-23"/>
        </w:rPr>
        <w:t>l</w:t>
      </w:r>
      <w:r>
        <w:rPr>
          <w:rFonts w:ascii="Wingdings" w:hAnsi="Wingdings" w:eastAsia="Wingdings" w:cs="Wingdings"/>
          <w:spacing w:val="-41"/>
        </w:rPr>
        <w:t xml:space="preserve"> </w:t>
      </w:r>
      <w:r>
        <w:rPr>
          <w:spacing w:val="-23"/>
        </w:rPr>
        <w:t>课时总量：12</w:t>
      </w:r>
      <w:r>
        <w:rPr>
          <w:spacing w:val="25"/>
        </w:rPr>
        <w:t xml:space="preserve"> </w:t>
      </w:r>
      <w:r>
        <w:rPr>
          <w:spacing w:val="-23"/>
        </w:rPr>
        <w:t>门核心课程 192 课时，1</w:t>
      </w:r>
      <w:r>
        <w:rPr>
          <w:spacing w:val="26"/>
        </w:rPr>
        <w:t xml:space="preserve"> </w:t>
      </w:r>
      <w:r>
        <w:rPr>
          <w:spacing w:val="-23"/>
        </w:rPr>
        <w:t>门公益微课共 24 课时，9 场以</w:t>
      </w:r>
      <w:r>
        <w:rPr>
          <w:spacing w:val="-16"/>
        </w:rPr>
        <w:t>上前沿讲座 18+课时</w:t>
      </w:r>
      <w:r>
        <w:rPr>
          <w:spacing w:val="-48"/>
        </w:rPr>
        <w:t xml:space="preserve"> </w:t>
      </w:r>
      <w:r>
        <w:rPr>
          <w:spacing w:val="-16"/>
        </w:rPr>
        <w:t>，共</w:t>
      </w:r>
      <w:r>
        <w:rPr>
          <w:spacing w:val="-20"/>
        </w:rPr>
        <w:t xml:space="preserve"> </w:t>
      </w:r>
      <w:r>
        <w:rPr>
          <w:spacing w:val="-16"/>
        </w:rPr>
        <w:t>234+课时（</w:t>
      </w:r>
      <w:r>
        <w:rPr>
          <w:spacing w:val="-17"/>
        </w:rPr>
        <w:t>实践活动课时未计入）。</w:t>
      </w:r>
    </w:p>
    <w:p w14:paraId="76874AC3">
      <w:pPr>
        <w:pStyle w:val="2"/>
        <w:spacing w:before="38" w:line="206" w:lineRule="auto"/>
        <w:ind w:left="24"/>
      </w:pPr>
      <w:r>
        <w:rPr>
          <w:rFonts w:ascii="Wingdings" w:hAnsi="Wingdings" w:eastAsia="Wingdings" w:cs="Wingdings"/>
          <w:spacing w:val="-13"/>
        </w:rPr>
        <w:t>l</w:t>
      </w:r>
      <w:r>
        <w:rPr>
          <w:rFonts w:ascii="Wingdings" w:hAnsi="Wingdings" w:eastAsia="Wingdings" w:cs="Wingdings"/>
          <w:spacing w:val="-47"/>
        </w:rPr>
        <w:t xml:space="preserve"> </w:t>
      </w:r>
      <w:r>
        <w:rPr>
          <w:spacing w:val="-13"/>
        </w:rPr>
        <w:t>计划周期：每届一年。</w:t>
      </w:r>
    </w:p>
    <w:p w14:paraId="4273085F">
      <w:pPr>
        <w:pStyle w:val="2"/>
        <w:spacing w:before="27" w:line="213" w:lineRule="auto"/>
        <w:ind w:left="441" w:right="84" w:hanging="417"/>
      </w:pPr>
      <w:r>
        <w:rPr>
          <w:rFonts w:ascii="Wingdings" w:hAnsi="Wingdings" w:eastAsia="Wingdings" w:cs="Wingdings"/>
          <w:spacing w:val="-16"/>
        </w:rPr>
        <w:t xml:space="preserve">l </w:t>
      </w:r>
      <w:r>
        <w:rPr>
          <w:spacing w:val="-16"/>
        </w:rPr>
        <w:t>颁发证书：学生达到计划要求，由中国教育国际交流研修学院颁发本</w:t>
      </w:r>
      <w:r>
        <w:rPr>
          <w:spacing w:val="-12"/>
        </w:rPr>
        <w:t>计划中英文双语结业证书。</w:t>
      </w:r>
    </w:p>
    <w:p w14:paraId="68CD6966">
      <w:pPr>
        <w:pStyle w:val="2"/>
        <w:spacing w:before="29" w:line="206" w:lineRule="auto"/>
        <w:ind w:left="24"/>
      </w:pPr>
      <w:r>
        <w:rPr>
          <w:rFonts w:ascii="Wingdings" w:hAnsi="Wingdings" w:eastAsia="Wingdings" w:cs="Wingdings"/>
          <w:spacing w:val="-15"/>
        </w:rPr>
        <w:t xml:space="preserve">l </w:t>
      </w:r>
      <w:r>
        <w:rPr>
          <w:spacing w:val="-15"/>
        </w:rPr>
        <w:t>学分认定：建议各校纳入选修课</w:t>
      </w:r>
      <w:r>
        <w:rPr>
          <w:spacing w:val="-48"/>
        </w:rPr>
        <w:t xml:space="preserve"> </w:t>
      </w:r>
      <w:r>
        <w:rPr>
          <w:spacing w:val="-15"/>
        </w:rPr>
        <w:t>，并赋予</w:t>
      </w:r>
      <w:r>
        <w:rPr>
          <w:spacing w:val="-16"/>
        </w:rPr>
        <w:t>相应学分。</w:t>
      </w:r>
    </w:p>
    <w:p w14:paraId="2B4AF114">
      <w:pPr>
        <w:spacing w:line="343" w:lineRule="auto"/>
        <w:rPr>
          <w:rFonts w:ascii="Arial"/>
          <w:sz w:val="21"/>
        </w:rPr>
      </w:pPr>
    </w:p>
    <w:p w14:paraId="57799AB2">
      <w:pPr>
        <w:spacing w:before="91" w:line="223" w:lineRule="auto"/>
        <w:ind w:left="578"/>
        <w:outlineLvl w:val="0"/>
        <w:rPr>
          <w:rFonts w:ascii="黑体" w:hAnsi="黑体" w:eastAsia="黑体" w:cs="黑体"/>
          <w:sz w:val="28"/>
          <w:szCs w:val="28"/>
        </w:rPr>
      </w:pPr>
      <w:r>
        <w:rPr>
          <w:rFonts w:ascii="黑体" w:hAnsi="黑体" w:eastAsia="黑体" w:cs="黑体"/>
          <w:spacing w:val="-3"/>
          <w:sz w:val="28"/>
          <w:szCs w:val="28"/>
        </w:rPr>
        <w:t>二、在地国际化</w:t>
      </w:r>
    </w:p>
    <w:p w14:paraId="2ABF590A">
      <w:pPr>
        <w:pStyle w:val="2"/>
        <w:spacing w:before="151" w:line="255" w:lineRule="auto"/>
        <w:ind w:left="14" w:right="278" w:firstLine="539"/>
        <w:jc w:val="both"/>
      </w:pPr>
      <w:r>
        <w:rPr>
          <w:spacing w:val="-12"/>
          <w:w w:val="98"/>
        </w:rPr>
        <w:t>在地国际化作为覆盖面广、性价比高、惠及全体学生的培养途径，</w:t>
      </w:r>
      <w:r>
        <w:rPr>
          <w:spacing w:val="-12"/>
        </w:rPr>
        <w:t>经过三年的发展与迭代</w:t>
      </w:r>
      <w:r>
        <w:rPr>
          <w:spacing w:val="-36"/>
        </w:rPr>
        <w:t xml:space="preserve"> </w:t>
      </w:r>
      <w:r>
        <w:rPr>
          <w:spacing w:val="-12"/>
        </w:rPr>
        <w:t>，形成了完善的理论培养体系。</w:t>
      </w:r>
      <w:r>
        <w:rPr>
          <w:spacing w:val="-60"/>
        </w:rPr>
        <w:t xml:space="preserve"> </w:t>
      </w:r>
      <w:r>
        <w:rPr>
          <w:spacing w:val="-12"/>
        </w:rPr>
        <w:t>当前包含核心</w:t>
      </w:r>
      <w:r>
        <w:rPr>
          <w:spacing w:val="-10"/>
        </w:rPr>
        <w:t>课程、前沿讲座、公益微课、新青年工作坊、全球胜任力训练营、学</w:t>
      </w:r>
      <w:r>
        <w:rPr>
          <w:spacing w:val="-13"/>
        </w:rPr>
        <w:t>术研究、</w:t>
      </w:r>
      <w:r>
        <w:rPr>
          <w:spacing w:val="-60"/>
        </w:rPr>
        <w:t xml:space="preserve"> </w:t>
      </w:r>
      <w:r>
        <w:rPr>
          <w:spacing w:val="-13"/>
        </w:rPr>
        <w:t>国内教师研修等。</w:t>
      </w:r>
    </w:p>
    <w:p w14:paraId="7DD13680">
      <w:pPr>
        <w:spacing w:before="81" w:line="215" w:lineRule="auto"/>
        <w:ind w:left="481"/>
        <w:rPr>
          <w:rFonts w:ascii="楷体" w:hAnsi="楷体" w:eastAsia="楷体" w:cs="楷体"/>
          <w:sz w:val="28"/>
          <w:szCs w:val="28"/>
        </w:rPr>
      </w:pPr>
      <w:r>
        <w:rPr>
          <w:rFonts w:ascii="楷体" w:hAnsi="楷体" w:eastAsia="楷体" w:cs="楷体"/>
          <w:sz w:val="28"/>
          <w:szCs w:val="28"/>
        </w:rPr>
        <w:t>（一）项目清单</w:t>
      </w:r>
    </w:p>
    <w:p w14:paraId="57010F49">
      <w:pPr>
        <w:spacing w:before="156" w:line="218" w:lineRule="auto"/>
        <w:ind w:left="509"/>
        <w:rPr>
          <w:rFonts w:ascii="楷体" w:hAnsi="楷体" w:eastAsia="楷体" w:cs="楷体"/>
          <w:sz w:val="28"/>
          <w:szCs w:val="28"/>
        </w:rPr>
      </w:pPr>
      <w:r>
        <w:rPr>
          <w:rFonts w:ascii="楷体" w:hAnsi="楷体" w:eastAsia="楷体" w:cs="楷体"/>
          <w:spacing w:val="-4"/>
          <w:sz w:val="28"/>
          <w:szCs w:val="28"/>
        </w:rPr>
        <w:t>1. 核心课程</w:t>
      </w:r>
    </w:p>
    <w:p w14:paraId="50FD502C">
      <w:pPr>
        <w:pStyle w:val="2"/>
        <w:spacing w:before="119" w:line="255" w:lineRule="auto"/>
        <w:ind w:left="15" w:right="363" w:firstLine="536"/>
      </w:pPr>
      <w:r>
        <w:rPr>
          <w:spacing w:val="-12"/>
        </w:rPr>
        <w:t>课程包括“</w:t>
      </w:r>
      <w:r>
        <w:rPr>
          <w:spacing w:val="-39"/>
        </w:rPr>
        <w:t xml:space="preserve"> </w:t>
      </w:r>
      <w:r>
        <w:rPr>
          <w:spacing w:val="-12"/>
        </w:rPr>
        <w:t>当代中国”“</w:t>
      </w:r>
      <w:r>
        <w:rPr>
          <w:spacing w:val="-47"/>
        </w:rPr>
        <w:t xml:space="preserve"> </w:t>
      </w:r>
      <w:r>
        <w:rPr>
          <w:spacing w:val="-12"/>
        </w:rPr>
        <w:t>国际理解”“跨文</w:t>
      </w:r>
      <w:r>
        <w:rPr>
          <w:spacing w:val="-13"/>
        </w:rPr>
        <w:t>化沟通”和“前沿与</w:t>
      </w:r>
      <w:r>
        <w:rPr>
          <w:spacing w:val="-17"/>
        </w:rPr>
        <w:t>交叉”</w:t>
      </w:r>
      <w:r>
        <w:rPr>
          <w:spacing w:val="-41"/>
        </w:rPr>
        <w:t xml:space="preserve"> </w:t>
      </w:r>
      <w:r>
        <w:rPr>
          <w:spacing w:val="-17"/>
        </w:rPr>
        <w:t>四个模块，课程总量不少于192学时。学生可根据自身情况灵活</w:t>
      </w:r>
      <w:r>
        <w:rPr>
          <w:spacing w:val="-20"/>
        </w:rPr>
        <w:t>选择四个模块的12门核心课程（课程代码GCC-101至GCC-403）。</w:t>
      </w:r>
    </w:p>
    <w:p w14:paraId="6C93A58B">
      <w:pPr>
        <w:pStyle w:val="2"/>
        <w:spacing w:before="56" w:line="197" w:lineRule="auto"/>
        <w:ind w:left="947"/>
      </w:pPr>
      <w:r>
        <w:rPr>
          <w:spacing w:val="-11"/>
        </w:rPr>
        <w:t>（1）核心课程设置</w:t>
      </w:r>
    </w:p>
    <w:p w14:paraId="3D94C642">
      <w:pPr>
        <w:pStyle w:val="2"/>
        <w:spacing w:before="104" w:line="200" w:lineRule="auto"/>
        <w:ind w:left="1631"/>
        <w:outlineLvl w:val="1"/>
        <w:rPr>
          <w:sz w:val="24"/>
          <w:szCs w:val="24"/>
        </w:rPr>
      </w:pPr>
      <w:r>
        <w:rPr>
          <w:spacing w:val="-5"/>
          <w:sz w:val="24"/>
          <w:szCs w:val="24"/>
        </w:rPr>
        <w:t xml:space="preserve">图表 </w:t>
      </w:r>
      <w:r>
        <w:rPr>
          <w:rFonts w:ascii="Calibri" w:hAnsi="Calibri" w:eastAsia="Calibri" w:cs="Calibri"/>
          <w:spacing w:val="-5"/>
          <w:sz w:val="24"/>
          <w:szCs w:val="24"/>
        </w:rPr>
        <w:t xml:space="preserve">2 </w:t>
      </w:r>
      <w:r>
        <w:rPr>
          <w:spacing w:val="-5"/>
          <w:sz w:val="24"/>
          <w:szCs w:val="24"/>
        </w:rPr>
        <w:t>：新青年全球胜任力人才培养计划线上课程</w:t>
      </w:r>
    </w:p>
    <w:p w14:paraId="2E29292E">
      <w:pPr>
        <w:spacing w:line="164" w:lineRule="exact"/>
      </w:pPr>
    </w:p>
    <w:tbl>
      <w:tblPr>
        <w:tblStyle w:val="6"/>
        <w:tblW w:w="8485" w:type="dxa"/>
        <w:tblInd w:w="2" w:type="dxa"/>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Layout w:type="fixed"/>
        <w:tblCellMar>
          <w:top w:w="0" w:type="dxa"/>
          <w:left w:w="0" w:type="dxa"/>
          <w:bottom w:w="0" w:type="dxa"/>
          <w:right w:w="0" w:type="dxa"/>
        </w:tblCellMar>
      </w:tblPr>
      <w:tblGrid>
        <w:gridCol w:w="1868"/>
        <w:gridCol w:w="1312"/>
        <w:gridCol w:w="3769"/>
        <w:gridCol w:w="852"/>
        <w:gridCol w:w="684"/>
      </w:tblGrid>
      <w:tr w14:paraId="27F9A524">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650" w:hRule="atLeast"/>
        </w:trPr>
        <w:tc>
          <w:tcPr>
            <w:tcW w:w="1868" w:type="dxa"/>
            <w:shd w:val="clear" w:color="auto" w:fill="1F4E79"/>
            <w:vAlign w:val="top"/>
          </w:tcPr>
          <w:p w14:paraId="2AD84697">
            <w:pPr>
              <w:spacing w:before="204" w:line="258" w:lineRule="exact"/>
              <w:ind w:firstLine="536"/>
            </w:pPr>
            <w:r>
              <w:rPr>
                <w:position w:val="-5"/>
              </w:rPr>
              <w:drawing>
                <wp:inline distT="0" distB="0" distL="0" distR="0">
                  <wp:extent cx="311785" cy="16383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2"/>
                          <a:stretch>
                            <a:fillRect/>
                          </a:stretch>
                        </pic:blipFill>
                        <pic:spPr>
                          <a:xfrm>
                            <a:off x="0" y="0"/>
                            <a:ext cx="311950" cy="164058"/>
                          </a:xfrm>
                          <a:prstGeom prst="rect">
                            <a:avLst/>
                          </a:prstGeom>
                        </pic:spPr>
                      </pic:pic>
                    </a:graphicData>
                  </a:graphic>
                </wp:inline>
              </w:drawing>
            </w:r>
          </w:p>
        </w:tc>
        <w:tc>
          <w:tcPr>
            <w:tcW w:w="1312" w:type="dxa"/>
            <w:shd w:val="clear" w:color="auto" w:fill="1F4E79"/>
            <w:vAlign w:val="top"/>
          </w:tcPr>
          <w:p w14:paraId="79A2914D">
            <w:pPr>
              <w:spacing w:before="206" w:line="271" w:lineRule="exact"/>
              <w:ind w:firstLine="174"/>
            </w:pPr>
            <w:r>
              <w:rPr>
                <w:position w:val="-5"/>
              </w:rPr>
              <w:drawing>
                <wp:inline distT="0" distB="0" distL="0" distR="0">
                  <wp:extent cx="584200" cy="17208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3"/>
                          <a:stretch>
                            <a:fillRect/>
                          </a:stretch>
                        </pic:blipFill>
                        <pic:spPr>
                          <a:xfrm>
                            <a:off x="0" y="0"/>
                            <a:ext cx="584377" cy="172110"/>
                          </a:xfrm>
                          <a:prstGeom prst="rect">
                            <a:avLst/>
                          </a:prstGeom>
                        </pic:spPr>
                      </pic:pic>
                    </a:graphicData>
                  </a:graphic>
                </wp:inline>
              </w:drawing>
            </w:r>
          </w:p>
        </w:tc>
        <w:tc>
          <w:tcPr>
            <w:tcW w:w="3769" w:type="dxa"/>
            <w:shd w:val="clear" w:color="auto" w:fill="1F4E79"/>
            <w:vAlign w:val="top"/>
          </w:tcPr>
          <w:p w14:paraId="6E6DC11C">
            <w:pPr>
              <w:spacing w:before="207" w:line="269" w:lineRule="exact"/>
              <w:ind w:firstLine="1417"/>
            </w:pPr>
            <w:r>
              <w:rPr>
                <w:position w:val="-5"/>
              </w:rPr>
              <w:drawing>
                <wp:inline distT="0" distB="0" distL="0" distR="0">
                  <wp:extent cx="584835" cy="170815"/>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4"/>
                          <a:stretch>
                            <a:fillRect/>
                          </a:stretch>
                        </pic:blipFill>
                        <pic:spPr>
                          <a:xfrm>
                            <a:off x="0" y="0"/>
                            <a:ext cx="585266" cy="170968"/>
                          </a:xfrm>
                          <a:prstGeom prst="rect">
                            <a:avLst/>
                          </a:prstGeom>
                        </pic:spPr>
                      </pic:pic>
                    </a:graphicData>
                  </a:graphic>
                </wp:inline>
              </w:drawing>
            </w:r>
          </w:p>
        </w:tc>
        <w:tc>
          <w:tcPr>
            <w:tcW w:w="852" w:type="dxa"/>
            <w:shd w:val="clear" w:color="auto" w:fill="1F4E79"/>
            <w:vAlign w:val="top"/>
          </w:tcPr>
          <w:p w14:paraId="2C1713A5">
            <w:pPr>
              <w:spacing w:before="205" w:line="273" w:lineRule="exact"/>
              <w:ind w:firstLine="142"/>
            </w:pPr>
            <w:r>
              <w:rPr>
                <w:position w:val="-5"/>
              </w:rPr>
              <w:drawing>
                <wp:inline distT="0" distB="0" distL="0" distR="0">
                  <wp:extent cx="300990" cy="173355"/>
                  <wp:effectExtent l="0" t="0" r="0" b="0"/>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5"/>
                          <a:stretch>
                            <a:fillRect/>
                          </a:stretch>
                        </pic:blipFill>
                        <pic:spPr>
                          <a:xfrm>
                            <a:off x="0" y="0"/>
                            <a:ext cx="301371" cy="173710"/>
                          </a:xfrm>
                          <a:prstGeom prst="rect">
                            <a:avLst/>
                          </a:prstGeom>
                        </pic:spPr>
                      </pic:pic>
                    </a:graphicData>
                  </a:graphic>
                </wp:inline>
              </w:drawing>
            </w:r>
          </w:p>
        </w:tc>
        <w:tc>
          <w:tcPr>
            <w:tcW w:w="684" w:type="dxa"/>
            <w:shd w:val="clear" w:color="auto" w:fill="1F4E79"/>
            <w:vAlign w:val="top"/>
          </w:tcPr>
          <w:p w14:paraId="6819AB8C">
            <w:pPr>
              <w:pStyle w:val="7"/>
              <w:spacing w:before="55" w:line="276" w:lineRule="exact"/>
              <w:ind w:left="100"/>
              <w:rPr>
                <w:sz w:val="27"/>
                <w:szCs w:val="27"/>
              </w:rPr>
            </w:pPr>
            <w:r>
              <w:rPr>
                <w:color w:val="1F4E78"/>
                <w:spacing w:val="-6"/>
                <w:position w:val="-1"/>
                <w:sz w:val="27"/>
                <w:szCs w:val="27"/>
              </w:rPr>
              <w:t>距现</w:t>
            </w:r>
          </w:p>
          <w:p w14:paraId="11464B0E">
            <w:pPr>
              <w:spacing w:before="26" w:line="273" w:lineRule="exact"/>
              <w:ind w:left="113"/>
            </w:pPr>
            <w:r>
              <w:rPr>
                <w:position w:val="-5"/>
              </w:rPr>
              <w:drawing>
                <wp:inline distT="0" distB="0" distL="0" distR="0">
                  <wp:extent cx="299085" cy="173355"/>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6"/>
                          <a:stretch>
                            <a:fillRect/>
                          </a:stretch>
                        </pic:blipFill>
                        <pic:spPr>
                          <a:xfrm>
                            <a:off x="0" y="0"/>
                            <a:ext cx="299377" cy="173710"/>
                          </a:xfrm>
                          <a:prstGeom prst="rect">
                            <a:avLst/>
                          </a:prstGeom>
                        </pic:spPr>
                      </pic:pic>
                    </a:graphicData>
                  </a:graphic>
                </wp:inline>
              </w:drawing>
            </w:r>
          </w:p>
        </w:tc>
      </w:tr>
      <w:tr w14:paraId="6BC00849">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5" w:hRule="atLeast"/>
        </w:trPr>
        <w:tc>
          <w:tcPr>
            <w:tcW w:w="1868" w:type="dxa"/>
            <w:vMerge w:val="restart"/>
            <w:tcBorders>
              <w:bottom w:val="nil"/>
            </w:tcBorders>
            <w:vAlign w:val="top"/>
          </w:tcPr>
          <w:p w14:paraId="30838135">
            <w:pPr>
              <w:pStyle w:val="7"/>
              <w:spacing w:before="244" w:line="158" w:lineRule="auto"/>
              <w:ind w:left="588" w:right="208" w:hanging="167"/>
              <w:rPr>
                <w:sz w:val="26"/>
                <w:szCs w:val="26"/>
              </w:rPr>
            </w:pPr>
            <w:r>
              <w:rPr>
                <w:color w:val="151515"/>
                <w:spacing w:val="18"/>
                <w:sz w:val="24"/>
                <w:szCs w:val="24"/>
              </w:rPr>
              <w:t>(核心课一)</w:t>
            </w:r>
            <w:r>
              <w:rPr>
                <w:color w:val="0A0A0A"/>
                <w:spacing w:val="-25"/>
                <w:w w:val="95"/>
                <w:sz w:val="26"/>
                <w:szCs w:val="26"/>
              </w:rPr>
              <w:t>当代中国</w:t>
            </w:r>
          </w:p>
        </w:tc>
        <w:tc>
          <w:tcPr>
            <w:tcW w:w="1312" w:type="dxa"/>
            <w:vAlign w:val="top"/>
          </w:tcPr>
          <w:p w14:paraId="37F93AB7">
            <w:pPr>
              <w:spacing w:before="81"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GCC-101</w:t>
            </w:r>
          </w:p>
        </w:tc>
        <w:tc>
          <w:tcPr>
            <w:tcW w:w="3769" w:type="dxa"/>
            <w:vAlign w:val="top"/>
          </w:tcPr>
          <w:p w14:paraId="07B619BC">
            <w:pPr>
              <w:spacing w:before="69" w:line="206" w:lineRule="auto"/>
              <w:ind w:left="618"/>
              <w:rPr>
                <w:rFonts w:ascii="楷体" w:hAnsi="楷体" w:eastAsia="楷体" w:cs="楷体"/>
                <w:sz w:val="22"/>
                <w:szCs w:val="22"/>
              </w:rPr>
            </w:pPr>
            <w:r>
              <w:rPr>
                <w:rFonts w:ascii="楷体" w:hAnsi="楷体" w:eastAsia="楷体" w:cs="楷体"/>
                <w:spacing w:val="-7"/>
                <w:sz w:val="22"/>
                <w:szCs w:val="22"/>
              </w:rPr>
              <w:t>中国特色大国外交专题研究</w:t>
            </w:r>
          </w:p>
        </w:tc>
        <w:tc>
          <w:tcPr>
            <w:tcW w:w="852" w:type="dxa"/>
            <w:vAlign w:val="top"/>
          </w:tcPr>
          <w:p w14:paraId="1019388E">
            <w:pPr>
              <w:spacing w:before="82"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79858A4C">
            <w:pPr>
              <w:spacing w:before="82"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5DBB9318">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5" w:hRule="atLeast"/>
        </w:trPr>
        <w:tc>
          <w:tcPr>
            <w:tcW w:w="1868" w:type="dxa"/>
            <w:vMerge w:val="continue"/>
            <w:tcBorders>
              <w:top w:val="nil"/>
              <w:bottom w:val="nil"/>
            </w:tcBorders>
            <w:vAlign w:val="top"/>
          </w:tcPr>
          <w:p w14:paraId="6E9F0658">
            <w:pPr>
              <w:rPr>
                <w:rFonts w:ascii="Arial"/>
                <w:sz w:val="21"/>
              </w:rPr>
            </w:pPr>
          </w:p>
        </w:tc>
        <w:tc>
          <w:tcPr>
            <w:tcW w:w="1312" w:type="dxa"/>
            <w:vAlign w:val="top"/>
          </w:tcPr>
          <w:p w14:paraId="767E68A4">
            <w:pPr>
              <w:spacing w:before="85"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GCC-102</w:t>
            </w:r>
          </w:p>
        </w:tc>
        <w:tc>
          <w:tcPr>
            <w:tcW w:w="3769" w:type="dxa"/>
            <w:vAlign w:val="top"/>
          </w:tcPr>
          <w:p w14:paraId="18EEB455">
            <w:pPr>
              <w:spacing w:before="76" w:line="200" w:lineRule="auto"/>
              <w:ind w:left="913"/>
              <w:rPr>
                <w:rFonts w:ascii="楷体" w:hAnsi="楷体" w:eastAsia="楷体" w:cs="楷体"/>
                <w:sz w:val="22"/>
                <w:szCs w:val="22"/>
              </w:rPr>
            </w:pPr>
            <w:r>
              <w:rPr>
                <w:rFonts w:ascii="楷体" w:hAnsi="楷体" w:eastAsia="楷体" w:cs="楷体"/>
                <w:spacing w:val="-4"/>
                <w:sz w:val="22"/>
                <w:szCs w:val="22"/>
              </w:rPr>
              <w:t>全球治理的中国方案</w:t>
            </w:r>
          </w:p>
        </w:tc>
        <w:tc>
          <w:tcPr>
            <w:tcW w:w="852" w:type="dxa"/>
            <w:vAlign w:val="top"/>
          </w:tcPr>
          <w:p w14:paraId="7C57852C">
            <w:pPr>
              <w:spacing w:before="83"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7DBBDC71">
            <w:pPr>
              <w:spacing w:before="85"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36959D42">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2" w:hRule="atLeast"/>
        </w:trPr>
        <w:tc>
          <w:tcPr>
            <w:tcW w:w="1868" w:type="dxa"/>
            <w:vMerge w:val="continue"/>
            <w:tcBorders>
              <w:top w:val="nil"/>
            </w:tcBorders>
            <w:vAlign w:val="top"/>
          </w:tcPr>
          <w:p w14:paraId="02E903C6">
            <w:pPr>
              <w:rPr>
                <w:rFonts w:ascii="Arial"/>
                <w:sz w:val="21"/>
              </w:rPr>
            </w:pPr>
          </w:p>
        </w:tc>
        <w:tc>
          <w:tcPr>
            <w:tcW w:w="1312" w:type="dxa"/>
            <w:vAlign w:val="top"/>
          </w:tcPr>
          <w:p w14:paraId="55E35B48">
            <w:pPr>
              <w:spacing w:before="86"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GCC-103</w:t>
            </w:r>
          </w:p>
        </w:tc>
        <w:tc>
          <w:tcPr>
            <w:tcW w:w="3769" w:type="dxa"/>
            <w:vAlign w:val="top"/>
          </w:tcPr>
          <w:p w14:paraId="700E7BD2">
            <w:pPr>
              <w:spacing w:before="59" w:line="212" w:lineRule="auto"/>
              <w:ind w:left="679"/>
              <w:rPr>
                <w:rFonts w:ascii="楷体" w:hAnsi="楷体" w:eastAsia="楷体" w:cs="楷体"/>
                <w:sz w:val="22"/>
                <w:szCs w:val="22"/>
              </w:rPr>
            </w:pPr>
            <w:r>
              <w:rPr>
                <w:rFonts w:ascii="楷体" w:hAnsi="楷体" w:eastAsia="楷体" w:cs="楷体"/>
                <w:spacing w:val="-7"/>
                <w:sz w:val="22"/>
                <w:szCs w:val="22"/>
              </w:rPr>
              <w:t>“一带一路”</w:t>
            </w:r>
            <w:r>
              <w:rPr>
                <w:rFonts w:ascii="楷体" w:hAnsi="楷体" w:eastAsia="楷体" w:cs="楷体"/>
                <w:spacing w:val="-76"/>
                <w:sz w:val="22"/>
                <w:szCs w:val="22"/>
              </w:rPr>
              <w:t xml:space="preserve"> </w:t>
            </w:r>
            <w:r>
              <w:rPr>
                <w:rFonts w:ascii="楷体" w:hAnsi="楷体" w:eastAsia="楷体" w:cs="楷体"/>
                <w:spacing w:val="-7"/>
                <w:sz w:val="22"/>
                <w:szCs w:val="22"/>
              </w:rPr>
              <w:t>与全球发展</w:t>
            </w:r>
          </w:p>
        </w:tc>
        <w:tc>
          <w:tcPr>
            <w:tcW w:w="852" w:type="dxa"/>
            <w:vAlign w:val="top"/>
          </w:tcPr>
          <w:p w14:paraId="240D070E">
            <w:pPr>
              <w:spacing w:before="86"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3B847E62">
            <w:pPr>
              <w:spacing w:before="86"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bl>
    <w:p w14:paraId="78D67BA3">
      <w:pPr>
        <w:rPr>
          <w:rFonts w:ascii="Arial"/>
          <w:sz w:val="21"/>
        </w:rPr>
      </w:pPr>
    </w:p>
    <w:p w14:paraId="42732F11">
      <w:pPr>
        <w:rPr>
          <w:rFonts w:ascii="Arial" w:hAnsi="Arial" w:eastAsia="Arial" w:cs="Arial"/>
          <w:sz w:val="21"/>
          <w:szCs w:val="21"/>
        </w:rPr>
        <w:sectPr>
          <w:headerReference r:id="rId8" w:type="default"/>
          <w:footerReference r:id="rId9" w:type="default"/>
          <w:pgSz w:w="11906" w:h="16839"/>
          <w:pgMar w:top="1226" w:right="1659" w:bottom="675" w:left="1755" w:header="847" w:footer="512" w:gutter="0"/>
          <w:cols w:space="720" w:num="1"/>
        </w:sectPr>
      </w:pPr>
    </w:p>
    <w:p w14:paraId="3A21779A">
      <w:pPr>
        <w:spacing w:line="196" w:lineRule="exact"/>
      </w:pPr>
    </w:p>
    <w:tbl>
      <w:tblPr>
        <w:tblStyle w:val="6"/>
        <w:tblW w:w="8485" w:type="dxa"/>
        <w:tblInd w:w="2" w:type="dxa"/>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Layout w:type="fixed"/>
        <w:tblCellMar>
          <w:top w:w="0" w:type="dxa"/>
          <w:left w:w="0" w:type="dxa"/>
          <w:bottom w:w="0" w:type="dxa"/>
          <w:right w:w="0" w:type="dxa"/>
        </w:tblCellMar>
      </w:tblPr>
      <w:tblGrid>
        <w:gridCol w:w="1868"/>
        <w:gridCol w:w="1312"/>
        <w:gridCol w:w="3769"/>
        <w:gridCol w:w="852"/>
        <w:gridCol w:w="684"/>
      </w:tblGrid>
      <w:tr w14:paraId="2E552616">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8" w:hRule="atLeast"/>
        </w:trPr>
        <w:tc>
          <w:tcPr>
            <w:tcW w:w="1868" w:type="dxa"/>
            <w:vMerge w:val="restart"/>
            <w:tcBorders>
              <w:bottom w:val="nil"/>
            </w:tcBorders>
            <w:shd w:val="clear" w:color="auto" w:fill="F5F5F5"/>
            <w:vAlign w:val="top"/>
          </w:tcPr>
          <w:p w14:paraId="3B0B3D47">
            <w:pPr>
              <w:pStyle w:val="7"/>
              <w:spacing w:before="243" w:line="297" w:lineRule="exact"/>
              <w:ind w:left="573" w:right="210" w:hanging="152"/>
              <w:rPr>
                <w:sz w:val="26"/>
                <w:szCs w:val="26"/>
              </w:rPr>
            </w:pPr>
            <w:r>
              <w:rPr>
                <w:color w:val="090909"/>
                <w:spacing w:val="-5"/>
                <w:position w:val="1"/>
                <w:sz w:val="27"/>
                <w:szCs w:val="27"/>
              </w:rPr>
              <w:t>(核心课二)</w:t>
            </w:r>
            <w:r>
              <w:rPr>
                <w:color w:val="0F0F0F"/>
                <w:spacing w:val="-13"/>
                <w:w w:val="92"/>
                <w:sz w:val="26"/>
                <w:szCs w:val="26"/>
              </w:rPr>
              <w:t>国际理解</w:t>
            </w:r>
          </w:p>
        </w:tc>
        <w:tc>
          <w:tcPr>
            <w:tcW w:w="1312" w:type="dxa"/>
            <w:shd w:val="clear" w:color="auto" w:fill="F5F5F5"/>
            <w:vAlign w:val="top"/>
          </w:tcPr>
          <w:p w14:paraId="65585B63">
            <w:pPr>
              <w:spacing w:before="84"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GCC-201</w:t>
            </w:r>
          </w:p>
        </w:tc>
        <w:tc>
          <w:tcPr>
            <w:tcW w:w="3769" w:type="dxa"/>
            <w:shd w:val="clear" w:color="auto" w:fill="F5F5F5"/>
            <w:vAlign w:val="top"/>
          </w:tcPr>
          <w:p w14:paraId="0029784E">
            <w:pPr>
              <w:spacing w:before="78" w:line="199" w:lineRule="auto"/>
              <w:ind w:left="950"/>
              <w:rPr>
                <w:rFonts w:ascii="楷体" w:hAnsi="楷体" w:eastAsia="楷体" w:cs="楷体"/>
                <w:sz w:val="22"/>
                <w:szCs w:val="22"/>
              </w:rPr>
            </w:pPr>
            <w:r>
              <w:rPr>
                <w:rFonts w:ascii="楷体" w:hAnsi="楷体" w:eastAsia="楷体" w:cs="楷体"/>
                <w:spacing w:val="-9"/>
                <w:sz w:val="22"/>
                <w:szCs w:val="22"/>
              </w:rPr>
              <w:t>国际组织与全球治理</w:t>
            </w:r>
          </w:p>
        </w:tc>
        <w:tc>
          <w:tcPr>
            <w:tcW w:w="852" w:type="dxa"/>
            <w:shd w:val="clear" w:color="auto" w:fill="F5F5F5"/>
            <w:vAlign w:val="top"/>
          </w:tcPr>
          <w:p w14:paraId="79C08426">
            <w:pPr>
              <w:spacing w:before="84"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shd w:val="clear" w:color="auto" w:fill="F5F5F5"/>
            <w:vAlign w:val="top"/>
          </w:tcPr>
          <w:p w14:paraId="32296EC4">
            <w:pPr>
              <w:spacing w:before="84"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405B39D2">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4" w:hRule="atLeast"/>
        </w:trPr>
        <w:tc>
          <w:tcPr>
            <w:tcW w:w="1868" w:type="dxa"/>
            <w:vMerge w:val="continue"/>
            <w:tcBorders>
              <w:top w:val="nil"/>
              <w:bottom w:val="nil"/>
            </w:tcBorders>
            <w:vAlign w:val="top"/>
          </w:tcPr>
          <w:p w14:paraId="6875B3D9">
            <w:pPr>
              <w:rPr>
                <w:rFonts w:ascii="Arial"/>
                <w:sz w:val="21"/>
              </w:rPr>
            </w:pPr>
          </w:p>
        </w:tc>
        <w:tc>
          <w:tcPr>
            <w:tcW w:w="1312" w:type="dxa"/>
            <w:shd w:val="clear" w:color="auto" w:fill="F5F5F5"/>
            <w:vAlign w:val="top"/>
          </w:tcPr>
          <w:p w14:paraId="4B29B126">
            <w:pPr>
              <w:spacing w:before="82"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GCC-202</w:t>
            </w:r>
          </w:p>
        </w:tc>
        <w:tc>
          <w:tcPr>
            <w:tcW w:w="3769" w:type="dxa"/>
            <w:shd w:val="clear" w:color="auto" w:fill="F5F5F5"/>
            <w:vAlign w:val="top"/>
          </w:tcPr>
          <w:p w14:paraId="3F49A8FE">
            <w:pPr>
              <w:spacing w:before="71" w:line="203" w:lineRule="auto"/>
              <w:ind w:left="702"/>
              <w:rPr>
                <w:rFonts w:ascii="楷体" w:hAnsi="楷体" w:eastAsia="楷体" w:cs="楷体"/>
                <w:sz w:val="22"/>
                <w:szCs w:val="22"/>
              </w:rPr>
            </w:pPr>
            <w:r>
              <w:rPr>
                <w:rFonts w:ascii="楷体" w:hAnsi="楷体" w:eastAsia="楷体" w:cs="楷体"/>
                <w:spacing w:val="-4"/>
                <w:sz w:val="22"/>
                <w:szCs w:val="22"/>
              </w:rPr>
              <w:t>未来科技发展与创新创业</w:t>
            </w:r>
          </w:p>
        </w:tc>
        <w:tc>
          <w:tcPr>
            <w:tcW w:w="852" w:type="dxa"/>
            <w:shd w:val="clear" w:color="auto" w:fill="F5F5F5"/>
            <w:vAlign w:val="top"/>
          </w:tcPr>
          <w:p w14:paraId="21DA7AF7">
            <w:pPr>
              <w:spacing w:before="82"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shd w:val="clear" w:color="auto" w:fill="F5F5F5"/>
            <w:vAlign w:val="top"/>
          </w:tcPr>
          <w:p w14:paraId="61AD6549">
            <w:pPr>
              <w:spacing w:before="82"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36B56BDB">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5" w:hRule="atLeast"/>
        </w:trPr>
        <w:tc>
          <w:tcPr>
            <w:tcW w:w="1868" w:type="dxa"/>
            <w:vMerge w:val="continue"/>
            <w:tcBorders>
              <w:top w:val="nil"/>
            </w:tcBorders>
            <w:vAlign w:val="top"/>
          </w:tcPr>
          <w:p w14:paraId="0C5F87B1">
            <w:pPr>
              <w:rPr>
                <w:rFonts w:ascii="Arial"/>
                <w:sz w:val="21"/>
              </w:rPr>
            </w:pPr>
          </w:p>
        </w:tc>
        <w:tc>
          <w:tcPr>
            <w:tcW w:w="1312" w:type="dxa"/>
            <w:shd w:val="clear" w:color="auto" w:fill="F5F5F5"/>
            <w:vAlign w:val="top"/>
          </w:tcPr>
          <w:p w14:paraId="17BC770A">
            <w:pPr>
              <w:spacing w:before="84"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GCC-203</w:t>
            </w:r>
          </w:p>
        </w:tc>
        <w:tc>
          <w:tcPr>
            <w:tcW w:w="3769" w:type="dxa"/>
            <w:shd w:val="clear" w:color="auto" w:fill="F5F5F5"/>
            <w:vAlign w:val="top"/>
          </w:tcPr>
          <w:p w14:paraId="14916F63">
            <w:pPr>
              <w:spacing w:before="73" w:line="202" w:lineRule="auto"/>
              <w:ind w:left="821"/>
              <w:rPr>
                <w:rFonts w:ascii="楷体" w:hAnsi="楷体" w:eastAsia="楷体" w:cs="楷体"/>
                <w:sz w:val="22"/>
                <w:szCs w:val="22"/>
              </w:rPr>
            </w:pPr>
            <w:r>
              <w:rPr>
                <w:rFonts w:ascii="楷体" w:hAnsi="楷体" w:eastAsia="楷体" w:cs="楷体"/>
                <w:spacing w:val="-5"/>
                <w:sz w:val="22"/>
                <w:szCs w:val="22"/>
              </w:rPr>
              <w:t>气候变化与可持续发展</w:t>
            </w:r>
          </w:p>
        </w:tc>
        <w:tc>
          <w:tcPr>
            <w:tcW w:w="852" w:type="dxa"/>
            <w:shd w:val="clear" w:color="auto" w:fill="F5F5F5"/>
            <w:vAlign w:val="top"/>
          </w:tcPr>
          <w:p w14:paraId="0D63807C">
            <w:pPr>
              <w:spacing w:before="84"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shd w:val="clear" w:color="auto" w:fill="F5F5F5"/>
            <w:vAlign w:val="top"/>
          </w:tcPr>
          <w:p w14:paraId="1D663670">
            <w:pPr>
              <w:spacing w:before="84"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2FFDC4B0">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5" w:hRule="atLeast"/>
        </w:trPr>
        <w:tc>
          <w:tcPr>
            <w:tcW w:w="1868" w:type="dxa"/>
            <w:vMerge w:val="restart"/>
            <w:tcBorders>
              <w:bottom w:val="nil"/>
            </w:tcBorders>
            <w:vAlign w:val="top"/>
          </w:tcPr>
          <w:p w14:paraId="24F3C836">
            <w:pPr>
              <w:pStyle w:val="7"/>
              <w:spacing w:before="242" w:line="218" w:lineRule="auto"/>
              <w:ind w:left="470" w:right="210" w:hanging="49"/>
              <w:rPr>
                <w:sz w:val="26"/>
                <w:szCs w:val="26"/>
              </w:rPr>
            </w:pPr>
            <w:r>
              <w:rPr>
                <w:color w:val="0B0B0B"/>
                <w:spacing w:val="-5"/>
                <w:sz w:val="27"/>
                <w:szCs w:val="27"/>
              </w:rPr>
              <w:t>(核心课三)</w:t>
            </w:r>
            <w:r>
              <w:rPr>
                <w:spacing w:val="-8"/>
                <w:w w:val="88"/>
                <w:sz w:val="26"/>
                <w:szCs w:val="26"/>
              </w:rPr>
              <w:t>跨文.化沟通</w:t>
            </w:r>
          </w:p>
        </w:tc>
        <w:tc>
          <w:tcPr>
            <w:tcW w:w="1312" w:type="dxa"/>
            <w:vAlign w:val="top"/>
          </w:tcPr>
          <w:p w14:paraId="6D36BB86">
            <w:pPr>
              <w:spacing w:before="83"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GCC-301</w:t>
            </w:r>
          </w:p>
        </w:tc>
        <w:tc>
          <w:tcPr>
            <w:tcW w:w="3769" w:type="dxa"/>
            <w:vAlign w:val="top"/>
          </w:tcPr>
          <w:p w14:paraId="0FC969AC">
            <w:pPr>
              <w:spacing w:before="66" w:line="206" w:lineRule="auto"/>
              <w:ind w:left="1016"/>
              <w:rPr>
                <w:rFonts w:ascii="楷体" w:hAnsi="楷体" w:eastAsia="楷体" w:cs="楷体"/>
                <w:sz w:val="22"/>
                <w:szCs w:val="22"/>
              </w:rPr>
            </w:pPr>
            <w:r>
              <w:rPr>
                <w:rFonts w:ascii="楷体" w:hAnsi="楷体" w:eastAsia="楷体" w:cs="楷体"/>
                <w:spacing w:val="-3"/>
                <w:sz w:val="22"/>
                <w:szCs w:val="22"/>
              </w:rPr>
              <w:t>跨文化沟通与交流</w:t>
            </w:r>
          </w:p>
        </w:tc>
        <w:tc>
          <w:tcPr>
            <w:tcW w:w="852" w:type="dxa"/>
            <w:vAlign w:val="top"/>
          </w:tcPr>
          <w:p w14:paraId="2236F86A">
            <w:pPr>
              <w:spacing w:before="83"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46341D65">
            <w:pPr>
              <w:spacing w:before="83"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33D32312">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3" w:hRule="atLeast"/>
        </w:trPr>
        <w:tc>
          <w:tcPr>
            <w:tcW w:w="1868" w:type="dxa"/>
            <w:vMerge w:val="continue"/>
            <w:tcBorders>
              <w:top w:val="nil"/>
              <w:bottom w:val="nil"/>
            </w:tcBorders>
            <w:vAlign w:val="top"/>
          </w:tcPr>
          <w:p w14:paraId="786EC518">
            <w:pPr>
              <w:rPr>
                <w:rFonts w:ascii="Arial"/>
                <w:sz w:val="21"/>
              </w:rPr>
            </w:pPr>
          </w:p>
        </w:tc>
        <w:tc>
          <w:tcPr>
            <w:tcW w:w="1312" w:type="dxa"/>
            <w:vAlign w:val="top"/>
          </w:tcPr>
          <w:p w14:paraId="15D0B0B1">
            <w:pPr>
              <w:spacing w:before="84"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GCC-302</w:t>
            </w:r>
          </w:p>
        </w:tc>
        <w:tc>
          <w:tcPr>
            <w:tcW w:w="3769" w:type="dxa"/>
            <w:vAlign w:val="top"/>
          </w:tcPr>
          <w:p w14:paraId="456E7CFF">
            <w:pPr>
              <w:spacing w:before="72" w:line="199" w:lineRule="auto"/>
              <w:ind w:left="1137"/>
              <w:rPr>
                <w:rFonts w:ascii="楷体" w:hAnsi="楷体" w:eastAsia="楷体" w:cs="楷体"/>
                <w:sz w:val="22"/>
                <w:szCs w:val="22"/>
              </w:rPr>
            </w:pPr>
            <w:r>
              <w:rPr>
                <w:rFonts w:ascii="楷体" w:hAnsi="楷体" w:eastAsia="楷体" w:cs="楷体"/>
                <w:spacing w:val="-5"/>
                <w:sz w:val="22"/>
                <w:szCs w:val="22"/>
              </w:rPr>
              <w:t>英语演讲与辩论</w:t>
            </w:r>
          </w:p>
        </w:tc>
        <w:tc>
          <w:tcPr>
            <w:tcW w:w="852" w:type="dxa"/>
            <w:vAlign w:val="top"/>
          </w:tcPr>
          <w:p w14:paraId="4077A269">
            <w:pPr>
              <w:spacing w:before="84"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157070E9">
            <w:pPr>
              <w:spacing w:before="84"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518D5812">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421" w:hRule="atLeast"/>
        </w:trPr>
        <w:tc>
          <w:tcPr>
            <w:tcW w:w="1868" w:type="dxa"/>
            <w:vMerge w:val="continue"/>
            <w:tcBorders>
              <w:top w:val="nil"/>
            </w:tcBorders>
            <w:vAlign w:val="top"/>
          </w:tcPr>
          <w:p w14:paraId="0B01742D">
            <w:pPr>
              <w:rPr>
                <w:rFonts w:ascii="Arial"/>
                <w:sz w:val="21"/>
              </w:rPr>
            </w:pPr>
          </w:p>
        </w:tc>
        <w:tc>
          <w:tcPr>
            <w:tcW w:w="1312" w:type="dxa"/>
            <w:vAlign w:val="top"/>
          </w:tcPr>
          <w:p w14:paraId="0C5A4059">
            <w:pPr>
              <w:spacing w:before="162"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GCC-303</w:t>
            </w:r>
          </w:p>
        </w:tc>
        <w:tc>
          <w:tcPr>
            <w:tcW w:w="3769" w:type="dxa"/>
            <w:vAlign w:val="top"/>
          </w:tcPr>
          <w:p w14:paraId="656C047F">
            <w:pPr>
              <w:spacing w:before="122" w:line="202" w:lineRule="auto"/>
              <w:ind w:left="1281"/>
              <w:rPr>
                <w:rFonts w:ascii="楷体" w:hAnsi="楷体" w:eastAsia="楷体" w:cs="楷体"/>
                <w:sz w:val="22"/>
                <w:szCs w:val="22"/>
              </w:rPr>
            </w:pPr>
            <w:r>
              <w:rPr>
                <w:rFonts w:ascii="楷体" w:hAnsi="楷体" w:eastAsia="楷体" w:cs="楷体"/>
                <w:spacing w:val="-12"/>
                <w:sz w:val="22"/>
                <w:szCs w:val="22"/>
              </w:rPr>
              <w:t>国际公文写作</w:t>
            </w:r>
          </w:p>
        </w:tc>
        <w:tc>
          <w:tcPr>
            <w:tcW w:w="852" w:type="dxa"/>
            <w:vAlign w:val="top"/>
          </w:tcPr>
          <w:p w14:paraId="51F952F8">
            <w:pPr>
              <w:spacing w:before="160"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1A8C61BE">
            <w:pPr>
              <w:spacing w:before="162"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4EC176BF">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33" w:hRule="atLeast"/>
        </w:trPr>
        <w:tc>
          <w:tcPr>
            <w:tcW w:w="1868" w:type="dxa"/>
            <w:vMerge w:val="restart"/>
            <w:tcBorders>
              <w:bottom w:val="nil"/>
            </w:tcBorders>
            <w:vAlign w:val="top"/>
          </w:tcPr>
          <w:p w14:paraId="4B8A9C23">
            <w:pPr>
              <w:pStyle w:val="7"/>
              <w:spacing w:before="246" w:line="157" w:lineRule="auto"/>
              <w:ind w:left="479" w:right="210" w:hanging="58"/>
              <w:rPr>
                <w:sz w:val="26"/>
                <w:szCs w:val="26"/>
              </w:rPr>
            </w:pPr>
            <w:r>
              <w:rPr>
                <w:color w:val="0B0B0B"/>
                <w:spacing w:val="-5"/>
                <w:sz w:val="27"/>
                <w:szCs w:val="27"/>
              </w:rPr>
              <w:t>(核心课四)</w:t>
            </w:r>
            <w:r>
              <w:rPr>
                <w:spacing w:val="-8"/>
                <w:w w:val="92"/>
                <w:sz w:val="26"/>
                <w:szCs w:val="26"/>
              </w:rPr>
              <w:t>前沿与交叉</w:t>
            </w:r>
          </w:p>
        </w:tc>
        <w:tc>
          <w:tcPr>
            <w:tcW w:w="1312" w:type="dxa"/>
            <w:vAlign w:val="top"/>
          </w:tcPr>
          <w:p w14:paraId="62BFAD27">
            <w:pPr>
              <w:spacing w:before="86"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GCC-401</w:t>
            </w:r>
          </w:p>
        </w:tc>
        <w:tc>
          <w:tcPr>
            <w:tcW w:w="3769" w:type="dxa"/>
            <w:vAlign w:val="top"/>
          </w:tcPr>
          <w:p w14:paraId="3F1473F0">
            <w:pPr>
              <w:spacing w:before="57" w:line="202" w:lineRule="auto"/>
              <w:ind w:left="1060"/>
              <w:rPr>
                <w:rFonts w:ascii="楷体" w:hAnsi="楷体" w:eastAsia="楷体" w:cs="楷体"/>
                <w:sz w:val="22"/>
                <w:szCs w:val="22"/>
              </w:rPr>
            </w:pPr>
            <w:r>
              <w:rPr>
                <w:rFonts w:ascii="楷体" w:hAnsi="楷体" w:eastAsia="楷体" w:cs="楷体"/>
                <w:spacing w:val="-10"/>
                <w:sz w:val="22"/>
                <w:szCs w:val="22"/>
              </w:rPr>
              <w:t>人工智能应用概论</w:t>
            </w:r>
          </w:p>
        </w:tc>
        <w:tc>
          <w:tcPr>
            <w:tcW w:w="852" w:type="dxa"/>
            <w:vAlign w:val="top"/>
          </w:tcPr>
          <w:p w14:paraId="10FB8D29">
            <w:pPr>
              <w:spacing w:before="86"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36ACD850">
            <w:pPr>
              <w:spacing w:before="86"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5811A888">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5" w:hRule="atLeast"/>
        </w:trPr>
        <w:tc>
          <w:tcPr>
            <w:tcW w:w="1868" w:type="dxa"/>
            <w:vMerge w:val="continue"/>
            <w:tcBorders>
              <w:top w:val="nil"/>
              <w:bottom w:val="nil"/>
            </w:tcBorders>
            <w:vAlign w:val="top"/>
          </w:tcPr>
          <w:p w14:paraId="520EC112">
            <w:pPr>
              <w:rPr>
                <w:rFonts w:ascii="Arial"/>
                <w:sz w:val="21"/>
              </w:rPr>
            </w:pPr>
          </w:p>
        </w:tc>
        <w:tc>
          <w:tcPr>
            <w:tcW w:w="1312" w:type="dxa"/>
            <w:vAlign w:val="top"/>
          </w:tcPr>
          <w:p w14:paraId="04B2C5FF">
            <w:pPr>
              <w:spacing w:before="87"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GCC-402</w:t>
            </w:r>
          </w:p>
        </w:tc>
        <w:tc>
          <w:tcPr>
            <w:tcW w:w="3769" w:type="dxa"/>
            <w:vAlign w:val="top"/>
          </w:tcPr>
          <w:p w14:paraId="3E53783D">
            <w:pPr>
              <w:spacing w:before="58" w:line="207" w:lineRule="auto"/>
              <w:ind w:left="646"/>
              <w:rPr>
                <w:rFonts w:ascii="楷体" w:hAnsi="楷体" w:eastAsia="楷体" w:cs="楷体"/>
                <w:sz w:val="22"/>
                <w:szCs w:val="22"/>
              </w:rPr>
            </w:pPr>
            <w:r>
              <w:rPr>
                <w:rFonts w:ascii="楷体" w:hAnsi="楷体" w:eastAsia="楷体" w:cs="楷体"/>
                <w:spacing w:val="-11"/>
                <w:sz w:val="22"/>
                <w:szCs w:val="22"/>
              </w:rPr>
              <w:t>全球科技治理与负责任创新</w:t>
            </w:r>
          </w:p>
        </w:tc>
        <w:tc>
          <w:tcPr>
            <w:tcW w:w="852" w:type="dxa"/>
            <w:vAlign w:val="top"/>
          </w:tcPr>
          <w:p w14:paraId="5FF9665D">
            <w:pPr>
              <w:spacing w:before="87"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0720CB7F">
            <w:pPr>
              <w:spacing w:before="87"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r w14:paraId="21D7CD5D">
        <w:tblPrEx>
          <w:tblBorders>
            <w:top w:val="single" w:color="808080" w:sz="2" w:space="0"/>
            <w:left w:val="single" w:color="808080" w:sz="2" w:space="0"/>
            <w:bottom w:val="single" w:color="808080" w:sz="2" w:space="0"/>
            <w:right w:val="single" w:color="808080" w:sz="2" w:space="0"/>
            <w:insideH w:val="single" w:color="808080" w:sz="2" w:space="0"/>
            <w:insideV w:val="single" w:color="808080" w:sz="2" w:space="0"/>
          </w:tblBorders>
          <w:tblCellMar>
            <w:top w:w="0" w:type="dxa"/>
            <w:left w:w="0" w:type="dxa"/>
            <w:bottom w:w="0" w:type="dxa"/>
            <w:right w:w="0" w:type="dxa"/>
          </w:tblCellMar>
        </w:tblPrEx>
        <w:trPr>
          <w:trHeight w:val="328" w:hRule="atLeast"/>
        </w:trPr>
        <w:tc>
          <w:tcPr>
            <w:tcW w:w="1868" w:type="dxa"/>
            <w:vMerge w:val="continue"/>
            <w:tcBorders>
              <w:top w:val="nil"/>
            </w:tcBorders>
            <w:vAlign w:val="top"/>
          </w:tcPr>
          <w:p w14:paraId="52BE3DEE">
            <w:pPr>
              <w:rPr>
                <w:rFonts w:ascii="Arial"/>
                <w:sz w:val="21"/>
              </w:rPr>
            </w:pPr>
          </w:p>
        </w:tc>
        <w:tc>
          <w:tcPr>
            <w:tcW w:w="1312" w:type="dxa"/>
            <w:vAlign w:val="top"/>
          </w:tcPr>
          <w:p w14:paraId="62F2B5DC">
            <w:pPr>
              <w:spacing w:before="93" w:line="189" w:lineRule="auto"/>
              <w:ind w:left="235"/>
              <w:rPr>
                <w:rFonts w:ascii="Times New Roman" w:hAnsi="Times New Roman" w:eastAsia="Times New Roman" w:cs="Times New Roman"/>
                <w:sz w:val="22"/>
                <w:szCs w:val="22"/>
              </w:rPr>
            </w:pPr>
            <w:r>
              <w:rPr>
                <w:rFonts w:ascii="Times New Roman" w:hAnsi="Times New Roman" w:eastAsia="Times New Roman" w:cs="Times New Roman"/>
                <w:spacing w:val="-2"/>
                <w:sz w:val="22"/>
                <w:szCs w:val="22"/>
              </w:rPr>
              <w:t>GCC-403</w:t>
            </w:r>
          </w:p>
        </w:tc>
        <w:tc>
          <w:tcPr>
            <w:tcW w:w="3769" w:type="dxa"/>
            <w:vAlign w:val="top"/>
          </w:tcPr>
          <w:p w14:paraId="1004B98A">
            <w:pPr>
              <w:spacing w:before="73" w:line="201" w:lineRule="auto"/>
              <w:ind w:left="489"/>
              <w:rPr>
                <w:rFonts w:ascii="楷体" w:hAnsi="楷体" w:eastAsia="楷体" w:cs="楷体"/>
                <w:sz w:val="22"/>
                <w:szCs w:val="22"/>
              </w:rPr>
            </w:pPr>
            <w:r>
              <w:rPr>
                <w:rFonts w:ascii="楷体" w:hAnsi="楷体" w:eastAsia="楷体" w:cs="楷体"/>
                <w:spacing w:val="-8"/>
                <w:sz w:val="22"/>
                <w:szCs w:val="22"/>
              </w:rPr>
              <w:t>企业</w:t>
            </w:r>
            <w:r>
              <w:rPr>
                <w:rFonts w:ascii="楷体" w:hAnsi="楷体" w:eastAsia="楷体" w:cs="楷体"/>
                <w:spacing w:val="-60"/>
                <w:sz w:val="22"/>
                <w:szCs w:val="22"/>
              </w:rPr>
              <w:t xml:space="preserve"> </w:t>
            </w:r>
            <w:r>
              <w:rPr>
                <w:rFonts w:ascii="Times New Roman" w:hAnsi="Times New Roman" w:eastAsia="Times New Roman" w:cs="Times New Roman"/>
                <w:spacing w:val="-8"/>
                <w:sz w:val="22"/>
                <w:szCs w:val="22"/>
              </w:rPr>
              <w:t xml:space="preserve">ESG </w:t>
            </w:r>
            <w:r>
              <w:rPr>
                <w:rFonts w:ascii="楷体" w:hAnsi="楷体" w:eastAsia="楷体" w:cs="楷体"/>
                <w:spacing w:val="-8"/>
                <w:sz w:val="22"/>
                <w:szCs w:val="22"/>
              </w:rPr>
              <w:t>发展趋势与职业规划</w:t>
            </w:r>
          </w:p>
        </w:tc>
        <w:tc>
          <w:tcPr>
            <w:tcW w:w="852" w:type="dxa"/>
            <w:vAlign w:val="top"/>
          </w:tcPr>
          <w:p w14:paraId="508E844F">
            <w:pPr>
              <w:spacing w:before="90" w:line="189" w:lineRule="auto"/>
              <w:ind w:left="301"/>
              <w:rPr>
                <w:rFonts w:ascii="Times New Roman" w:hAnsi="Times New Roman" w:eastAsia="Times New Roman" w:cs="Times New Roman"/>
                <w:sz w:val="22"/>
                <w:szCs w:val="22"/>
              </w:rPr>
            </w:pPr>
            <w:r>
              <w:rPr>
                <w:rFonts w:ascii="Times New Roman" w:hAnsi="Times New Roman" w:eastAsia="Times New Roman" w:cs="Times New Roman"/>
                <w:spacing w:val="-13"/>
                <w:sz w:val="22"/>
                <w:szCs w:val="22"/>
              </w:rPr>
              <w:t>16</w:t>
            </w:r>
          </w:p>
        </w:tc>
        <w:tc>
          <w:tcPr>
            <w:tcW w:w="684" w:type="dxa"/>
            <w:vAlign w:val="top"/>
          </w:tcPr>
          <w:p w14:paraId="1152F82E">
            <w:pPr>
              <w:spacing w:before="93" w:line="189" w:lineRule="auto"/>
              <w:ind w:left="328"/>
              <w:rPr>
                <w:rFonts w:ascii="Times New Roman" w:hAnsi="Times New Roman" w:eastAsia="Times New Roman" w:cs="Times New Roman"/>
                <w:sz w:val="22"/>
                <w:szCs w:val="22"/>
              </w:rPr>
            </w:pPr>
            <w:r>
              <w:rPr>
                <w:rFonts w:ascii="Times New Roman" w:hAnsi="Times New Roman" w:eastAsia="Times New Roman" w:cs="Times New Roman"/>
                <w:sz w:val="22"/>
                <w:szCs w:val="22"/>
              </w:rPr>
              <w:t>1</w:t>
            </w:r>
          </w:p>
        </w:tc>
      </w:tr>
    </w:tbl>
    <w:p w14:paraId="2092D96A">
      <w:pPr>
        <w:spacing w:line="274" w:lineRule="auto"/>
        <w:rPr>
          <w:rFonts w:ascii="Arial"/>
          <w:sz w:val="21"/>
        </w:rPr>
      </w:pPr>
    </w:p>
    <w:p w14:paraId="36181CD2">
      <w:pPr>
        <w:pStyle w:val="2"/>
        <w:spacing w:before="120" w:line="205" w:lineRule="auto"/>
        <w:ind w:left="24"/>
      </w:pPr>
      <w:r>
        <w:rPr>
          <w:rFonts w:ascii="Wingdings" w:hAnsi="Wingdings" w:eastAsia="Wingdings" w:cs="Wingdings"/>
          <w:spacing w:val="-13"/>
        </w:rPr>
        <w:t>l</w:t>
      </w:r>
      <w:r>
        <w:rPr>
          <w:rFonts w:ascii="Wingdings" w:hAnsi="Wingdings" w:eastAsia="Wingdings" w:cs="Wingdings"/>
          <w:spacing w:val="248"/>
        </w:rPr>
        <w:t xml:space="preserve"> </w:t>
      </w:r>
      <w:r>
        <w:rPr>
          <w:spacing w:val="-13"/>
        </w:rPr>
        <w:t>学生可根据自身学习兴趣、能力和时间选择相关课程与活动。</w:t>
      </w:r>
    </w:p>
    <w:p w14:paraId="26766995">
      <w:pPr>
        <w:pStyle w:val="2"/>
        <w:spacing w:before="174" w:line="228" w:lineRule="auto"/>
        <w:ind w:left="433" w:right="365" w:hanging="409"/>
      </w:pPr>
      <w:r>
        <w:rPr>
          <w:rFonts w:ascii="Wingdings" w:hAnsi="Wingdings" w:eastAsia="Wingdings" w:cs="Wingdings"/>
          <w:spacing w:val="-11"/>
          <w:w w:val="98"/>
        </w:rPr>
        <w:t>l</w:t>
      </w:r>
      <w:r>
        <w:rPr>
          <w:rFonts w:ascii="Wingdings" w:hAnsi="Wingdings" w:eastAsia="Wingdings" w:cs="Wingdings"/>
          <w:spacing w:val="250"/>
        </w:rPr>
        <w:t xml:space="preserve"> </w:t>
      </w:r>
      <w:r>
        <w:rPr>
          <w:spacing w:val="-11"/>
          <w:w w:val="98"/>
        </w:rPr>
        <w:t>学校可视情况为课程赋予相应学分；部分课程或可与学校已开设</w:t>
      </w:r>
      <w:r>
        <w:rPr>
          <w:spacing w:val="-11"/>
        </w:rPr>
        <w:t>课程进行替换。</w:t>
      </w:r>
    </w:p>
    <w:p w14:paraId="587A132E">
      <w:pPr>
        <w:pStyle w:val="2"/>
        <w:spacing w:before="183" w:line="197" w:lineRule="auto"/>
        <w:ind w:left="947"/>
      </w:pPr>
      <w:r>
        <w:rPr>
          <w:spacing w:val="-10"/>
        </w:rPr>
        <w:t>（2）教学形式</w:t>
      </w:r>
    </w:p>
    <w:p w14:paraId="08FAC70D">
      <w:pPr>
        <w:pStyle w:val="2"/>
        <w:spacing w:before="192" w:line="201" w:lineRule="auto"/>
        <w:ind w:left="975"/>
      </w:pPr>
      <w:r>
        <w:rPr>
          <w:spacing w:val="-7"/>
          <w:w w:val="98"/>
        </w:rPr>
        <w:t>核心课程在线进行。</w:t>
      </w:r>
    </w:p>
    <w:p w14:paraId="6061509E">
      <w:pPr>
        <w:pStyle w:val="2"/>
        <w:spacing w:before="182" w:line="197" w:lineRule="auto"/>
        <w:ind w:left="947"/>
      </w:pPr>
      <w:r>
        <w:rPr>
          <w:spacing w:val="-10"/>
        </w:rPr>
        <w:t>（3）考核与证书</w:t>
      </w:r>
    </w:p>
    <w:p w14:paraId="508B5FA6">
      <w:pPr>
        <w:pStyle w:val="2"/>
        <w:spacing w:before="194" w:line="259" w:lineRule="auto"/>
        <w:ind w:left="443" w:right="325" w:firstLine="528"/>
      </w:pPr>
      <w:r>
        <w:rPr>
          <w:spacing w:val="-8"/>
          <w:w w:val="97"/>
        </w:rPr>
        <w:t>课程考核内容主要包括学生所选核心课程的修读课时、作业完</w:t>
      </w:r>
      <w:r>
        <w:rPr>
          <w:spacing w:val="-10"/>
          <w:w w:val="98"/>
        </w:rPr>
        <w:t>成情况、论文撰写情况和实践活动参与情况。总评60分以上合格。</w:t>
      </w:r>
    </w:p>
    <w:p w14:paraId="61EE3CEE">
      <w:pPr>
        <w:pStyle w:val="2"/>
        <w:spacing w:before="47" w:line="255" w:lineRule="auto"/>
        <w:ind w:left="434" w:right="363" w:firstLine="556"/>
        <w:jc w:val="both"/>
      </w:pPr>
      <w:r>
        <w:rPr>
          <w:spacing w:val="-12"/>
        </w:rPr>
        <w:t>学生需于一年内从四个核心模块中至少选择不同模块的3门课</w:t>
      </w:r>
      <w:r>
        <w:rPr>
          <w:spacing w:val="-9"/>
          <w:w w:val="98"/>
        </w:rPr>
        <w:t>及对应核心课程的公益微课课节进行学习，通过考核后</w:t>
      </w:r>
      <w:r>
        <w:rPr>
          <w:spacing w:val="-10"/>
          <w:w w:val="98"/>
        </w:rPr>
        <w:t>可获得新青</w:t>
      </w:r>
      <w:r>
        <w:rPr>
          <w:spacing w:val="-12"/>
          <w:w w:val="99"/>
        </w:rPr>
        <w:t>年计划结业证书（注明所修课程）。参加实践活动的学生可另获得</w:t>
      </w:r>
      <w:r>
        <w:rPr>
          <w:spacing w:val="-12"/>
        </w:rPr>
        <w:t>活动相关国内外合作机构联合颁发的相关证书。</w:t>
      </w:r>
    </w:p>
    <w:p w14:paraId="56A0D7EA">
      <w:pPr>
        <w:spacing w:before="81" w:line="216" w:lineRule="auto"/>
        <w:ind w:left="503"/>
        <w:rPr>
          <w:rFonts w:ascii="楷体" w:hAnsi="楷体" w:eastAsia="楷体" w:cs="楷体"/>
          <w:sz w:val="28"/>
          <w:szCs w:val="28"/>
        </w:rPr>
      </w:pPr>
      <w:r>
        <w:rPr>
          <w:rFonts w:ascii="楷体" w:hAnsi="楷体" w:eastAsia="楷体" w:cs="楷体"/>
          <w:spacing w:val="-4"/>
          <w:sz w:val="28"/>
          <w:szCs w:val="28"/>
        </w:rPr>
        <w:t>2.前沿讲座</w:t>
      </w:r>
    </w:p>
    <w:p w14:paraId="68A20A05">
      <w:pPr>
        <w:pStyle w:val="2"/>
        <w:spacing w:before="121" w:line="254" w:lineRule="auto"/>
        <w:ind w:left="438" w:right="363" w:firstLine="535"/>
        <w:jc w:val="both"/>
      </w:pPr>
      <w:r>
        <w:rPr>
          <w:spacing w:val="-10"/>
          <w:w w:val="98"/>
        </w:rPr>
        <w:t>讲座结合课程主题开展，以线上线下相结合形式进行。讲座邀</w:t>
      </w:r>
      <w:r>
        <w:rPr>
          <w:spacing w:val="-13"/>
          <w:w w:val="99"/>
        </w:rPr>
        <w:t>请国际组织资深官员、著名专家学者及业界知名人士，面向广大学</w:t>
      </w:r>
      <w:r>
        <w:rPr>
          <w:spacing w:val="-10"/>
          <w:w w:val="98"/>
        </w:rPr>
        <w:t>生群体，深入剖析并分享前沿学术研究成果、行业未来发展趋势及</w:t>
      </w:r>
      <w:r>
        <w:rPr>
          <w:spacing w:val="-13"/>
          <w:w w:val="99"/>
        </w:rPr>
        <w:t>多元文化精髓。线上讲座按照学期规划开展，线下讲座根据院校申</w:t>
      </w:r>
      <w:r>
        <w:rPr>
          <w:spacing w:val="-16"/>
        </w:rPr>
        <w:t>请进行，</w:t>
      </w:r>
      <w:r>
        <w:rPr>
          <w:spacing w:val="-16"/>
          <w:u w:val="single" w:color="auto"/>
        </w:rPr>
        <w:t>每年不少于9场讲座</w:t>
      </w:r>
      <w:r>
        <w:rPr>
          <w:spacing w:val="-46"/>
          <w:u w:val="single" w:color="auto"/>
        </w:rPr>
        <w:t xml:space="preserve"> </w:t>
      </w:r>
      <w:r>
        <w:rPr>
          <w:spacing w:val="-16"/>
          <w:u w:val="single" w:color="auto"/>
        </w:rPr>
        <w:t>，不低于18学</w:t>
      </w:r>
      <w:r>
        <w:rPr>
          <w:spacing w:val="-17"/>
          <w:u w:val="single" w:color="auto"/>
        </w:rPr>
        <w:t>时</w:t>
      </w:r>
      <w:r>
        <w:rPr>
          <w:spacing w:val="-17"/>
        </w:rPr>
        <w:t>。</w:t>
      </w:r>
    </w:p>
    <w:p w14:paraId="7F0DFD42">
      <w:pPr>
        <w:spacing w:before="79" w:line="218" w:lineRule="auto"/>
        <w:ind w:left="514"/>
        <w:rPr>
          <w:rFonts w:ascii="楷体" w:hAnsi="楷体" w:eastAsia="楷体" w:cs="楷体"/>
          <w:sz w:val="28"/>
          <w:szCs w:val="28"/>
        </w:rPr>
      </w:pPr>
      <w:bookmarkStart w:id="0" w:name="_GoBack"/>
      <w:bookmarkEnd w:id="0"/>
    </w:p>
    <w:sectPr>
      <w:footerReference r:id="rId10" w:type="default"/>
      <w:pgSz w:w="11906" w:h="16839"/>
      <w:pgMar w:top="1226" w:right="1659" w:bottom="677" w:left="1755" w:header="847" w:footer="51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71B6E1">
    <w:pPr>
      <w:spacing w:line="168" w:lineRule="auto"/>
      <w:ind w:left="4152"/>
      <w:rPr>
        <w:rFonts w:ascii="Calibri" w:hAnsi="Calibri" w:eastAsia="Calibri" w:cs="Calibr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E5780">
    <w:pPr>
      <w:spacing w:line="167" w:lineRule="auto"/>
      <w:ind w:left="4159"/>
      <w:rPr>
        <w:rFonts w:ascii="Calibri" w:hAnsi="Calibri" w:eastAsia="Calibri" w:cs="Calibri"/>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B8D5F">
    <w:pPr>
      <w:spacing w:line="169" w:lineRule="auto"/>
      <w:ind w:left="4160"/>
      <w:rPr>
        <w:rFonts w:ascii="Calibri" w:hAnsi="Calibri" w:eastAsia="Calibri" w:cs="Calibr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A8C148">
    <w:pPr>
      <w:spacing w:before="54" w:line="229" w:lineRule="auto"/>
      <w:ind w:right="3"/>
      <w:jc w:val="right"/>
      <w:rPr>
        <w:rFonts w:ascii="仿宋" w:hAnsi="仿宋" w:eastAsia="仿宋" w:cs="仿宋"/>
        <w:sz w:val="20"/>
        <w:szCs w:val="20"/>
      </w:rPr>
    </w:pPr>
    <w:r>
      <w:pict>
        <v:shape id="_x0000_s2049" o:spid="_x0000_s2049" style="position:absolute;left:0pt;margin-left:87.9pt;margin-top:58.15pt;height:0.5pt;width:419.5pt;mso-position-horizontal-relative:page;mso-position-vertical-relative:page;z-index:251659264;mso-width-relative:page;mso-height-relative:page;" fillcolor="#C00000" filled="t" stroked="f" coordsize="8390,10" o:allowincell="f" path="m0,0l8390,0,8390,9,0,9,0,0xe">
          <v:fill on="t" focussize="0,0"/>
          <v:stroke on="f"/>
          <v:imagedata o:title=""/>
          <o:lock v:ext="edit"/>
        </v:shape>
      </w:pict>
    </w:r>
    <w:r>
      <w:rPr>
        <w:rFonts w:ascii="仿宋" w:hAnsi="仿宋" w:eastAsia="仿宋" w:cs="仿宋"/>
        <w:spacing w:val="9"/>
        <w:sz w:val="20"/>
        <w:szCs w:val="20"/>
      </w:rPr>
      <w:t>《新青年全球胜任力人才培养计划》实施指南</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47EF1">
    <w:pPr>
      <w:spacing w:before="54" w:line="229" w:lineRule="auto"/>
      <w:ind w:left="4202"/>
      <w:rPr>
        <w:rFonts w:ascii="仿宋" w:hAnsi="仿宋" w:eastAsia="仿宋" w:cs="仿宋"/>
        <w:sz w:val="20"/>
        <w:szCs w:val="20"/>
      </w:rPr>
    </w:pPr>
    <w:r>
      <w:pict>
        <v:shape id="_x0000_s2050" o:spid="_x0000_s2050" style="position:absolute;left:0pt;margin-left:87.9pt;margin-top:58.15pt;height:0.5pt;width:419.5pt;mso-position-horizontal-relative:page;mso-position-vertical-relative:page;z-index:251660288;mso-width-relative:page;mso-height-relative:page;" fillcolor="#C00000" filled="t" stroked="f" coordsize="8390,10" o:allowincell="f" path="m0,0l8390,0,8390,9,0,9,0,0xe">
          <v:fill on="t" focussize="0,0"/>
          <v:stroke on="f"/>
          <v:imagedata o:title=""/>
          <o:lock v:ext="edit"/>
        </v:shape>
      </w:pict>
    </w:r>
    <w:r>
      <w:rPr>
        <w:rFonts w:ascii="仿宋" w:hAnsi="仿宋" w:eastAsia="仿宋" w:cs="仿宋"/>
        <w:spacing w:val="9"/>
        <w:sz w:val="20"/>
        <w:szCs w:val="20"/>
      </w:rPr>
      <w:t>《新青年全球胜任力人才培养计划》实施指南</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122EF">
    <w:pPr>
      <w:spacing w:before="54" w:line="229" w:lineRule="auto"/>
      <w:ind w:left="4205"/>
      <w:rPr>
        <w:rFonts w:ascii="仿宋" w:hAnsi="仿宋" w:eastAsia="仿宋" w:cs="仿宋"/>
        <w:sz w:val="20"/>
        <w:szCs w:val="20"/>
      </w:rPr>
    </w:pPr>
    <w:r>
      <w:pict>
        <v:shape id="_x0000_s2051" o:spid="_x0000_s2051" style="position:absolute;left:0pt;margin-left:87.9pt;margin-top:58.15pt;height:0.5pt;width:419.5pt;mso-position-horizontal-relative:page;mso-position-vertical-relative:page;z-index:251661312;mso-width-relative:page;mso-height-relative:page;" fillcolor="#C00000" filled="t" stroked="f" coordsize="8390,10" o:allowincell="f" path="m0,0l8390,0,8390,9,0,9,0,0xe">
          <v:fill on="t" focussize="0,0"/>
          <v:stroke on="f"/>
          <v:imagedata o:title=""/>
          <o:lock v:ext="edit"/>
        </v:shape>
      </w:pict>
    </w:r>
    <w:r>
      <w:rPr>
        <w:rFonts w:ascii="仿宋" w:hAnsi="仿宋" w:eastAsia="仿宋" w:cs="仿宋"/>
        <w:spacing w:val="9"/>
        <w:sz w:val="20"/>
        <w:szCs w:val="20"/>
      </w:rPr>
      <w:t>《新青年全球胜任力人才培养计划》实施指南</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186BF0"/>
    <w:rsid w:val="06A25465"/>
    <w:rsid w:val="0DED3F7D"/>
    <w:rsid w:val="1170063A"/>
    <w:rsid w:val="150F12E8"/>
    <w:rsid w:val="18826EA4"/>
    <w:rsid w:val="2B0A5203"/>
    <w:rsid w:val="31666F0B"/>
    <w:rsid w:val="471123CE"/>
    <w:rsid w:val="4FA9473B"/>
    <w:rsid w:val="53FF0DCE"/>
    <w:rsid w:val="557F21C6"/>
    <w:rsid w:val="5627460C"/>
    <w:rsid w:val="5A2570B4"/>
    <w:rsid w:val="679F04A6"/>
    <w:rsid w:val="77212C85"/>
    <w:rsid w:val="78FB750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footer"/>
    <w:basedOn w:val="1"/>
    <w:uiPriority w:val="0"/>
    <w:pPr>
      <w:tabs>
        <w:tab w:val="center" w:pos="4153"/>
        <w:tab w:val="right" w:pos="8306"/>
      </w:tabs>
      <w:snapToGrid w:val="0"/>
      <w:jc w:val="left"/>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rPr>
      <w:rFonts w:ascii="微软雅黑" w:hAnsi="微软雅黑" w:eastAsia="微软雅黑" w:cs="微软雅黑"/>
      <w:sz w:val="28"/>
      <w:szCs w:val="28"/>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image" Target="media/image5.png"/><Relationship Id="rId15" Type="http://schemas.openxmlformats.org/officeDocument/2006/relationships/image" Target="media/image4.jpe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0"/>
    <customShpInfo spid="_x0000_s205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2249</Words>
  <Characters>2401</Characters>
  <TotalTime>0</TotalTime>
  <ScaleCrop>false</ScaleCrop>
  <LinksUpToDate>false</LinksUpToDate>
  <CharactersWithSpaces>2472</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2026-03-16T15:05:00Z</dcterms:created>
  <dc:creator>luson</dc:creator>
  <cp:lastModifiedBy>厚蛋烧</cp:lastModifiedBy>
  <dcterms:modified xsi:type="dcterms:W3CDTF">2026-03-16T07:06:30Z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2026-03-16T15:05:43Z</vt:filetime>
  </property>
  <property fmtid="{D5CDD505-2E9C-101B-9397-08002B2CF9AE}" pid="4" name="KSOTemplateDocerSaveRecord">
    <vt:lpwstr>eyJoZGlkIjoiYjhlZWI4ZmM0NjhkZjY5ZmUzNjNlNTA1YmNjMTAyMjIiLCJ1c2VySWQiOiIxMzY2ODU4MjYyIn0=</vt:lpwstr>
  </property>
  <property fmtid="{D5CDD505-2E9C-101B-9397-08002B2CF9AE}" pid="5" name="KSOProductBuildVer">
    <vt:lpwstr>2052-12.1.0.25225</vt:lpwstr>
  </property>
  <property fmtid="{D5CDD505-2E9C-101B-9397-08002B2CF9AE}" pid="6" name="ICV">
    <vt:lpwstr>56D66EBE824C4CE7AE93B7B5D5E7763E_12</vt:lpwstr>
  </property>
</Properties>
</file>