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2B09CD2">
      <w:pPr>
        <w:jc w:val="center"/>
        <w:rPr>
          <w:rFonts w:hint="default" w:eastAsiaTheme="minorEastAsia"/>
          <w:b/>
          <w:bCs/>
          <w:lang w:val="en-US" w:eastAsia="zh-CN"/>
        </w:rPr>
      </w:pPr>
      <w:r>
        <w:rPr>
          <w:b/>
          <w:bCs/>
        </w:rPr>
        <w:t>202</w:t>
      </w:r>
      <w:r>
        <w:rPr>
          <w:rFonts w:hint="eastAsia"/>
          <w:b/>
          <w:bCs/>
        </w:rPr>
        <w:t>6</w:t>
      </w:r>
      <w:r>
        <w:rPr>
          <w:b/>
          <w:bCs/>
        </w:rPr>
        <w:t>年</w:t>
      </w:r>
      <w:r>
        <w:rPr>
          <w:rFonts w:hint="eastAsia"/>
          <w:b/>
          <w:bCs/>
        </w:rPr>
        <w:t>暑期</w:t>
      </w:r>
      <w:r>
        <w:rPr>
          <w:b/>
          <w:bCs/>
        </w:rPr>
        <w:t>赴西班牙巴塞罗那自治大学交流学习</w:t>
      </w:r>
      <w:r>
        <w:rPr>
          <w:rFonts w:hint="eastAsia"/>
          <w:b/>
          <w:bCs/>
          <w:lang w:val="en-US" w:eastAsia="zh-CN"/>
        </w:rPr>
        <w:t>项目简章</w:t>
      </w:r>
    </w:p>
    <w:p w14:paraId="6C7CDFB4">
      <w:pPr>
        <w:rPr>
          <w:rFonts w:hint="eastAsia"/>
        </w:rPr>
      </w:pPr>
      <w:r>
        <w:rPr>
          <w:rFonts w:hint="eastAsia"/>
        </w:rPr>
        <w:t> </w:t>
      </w:r>
    </w:p>
    <w:p w14:paraId="0D9EFE2B">
      <w:pPr>
        <w:rPr>
          <w:rFonts w:hint="eastAsia"/>
        </w:rPr>
      </w:pPr>
      <w:r>
        <w:rPr>
          <w:rFonts w:hint="eastAsia"/>
        </w:rPr>
        <w:t>项目简介</w:t>
      </w:r>
    </w:p>
    <w:p w14:paraId="249F2253">
      <w:pPr>
        <w:rPr>
          <w:rFonts w:hint="eastAsia"/>
        </w:rPr>
      </w:pPr>
      <w:r>
        <w:rPr>
          <w:rFonts w:hint="eastAsia"/>
        </w:rPr>
        <w:t> </w:t>
      </w:r>
      <w:r>
        <w:t xml:space="preserve">  </w:t>
      </w:r>
      <w:r>
        <w:rPr>
          <w:rFonts w:hint="eastAsia"/>
        </w:rPr>
        <w:t xml:space="preserve"> PGGE项目是巴塞罗那自治大学开设的为期四周的学术科研核心训练营。课程采用递进式设计，围绕研究方法理论、学术表达能力、导师指导实践三大模块展开，旨在帮助学生系统掌握国际通行的学术研究规范与技能。</w:t>
      </w:r>
    </w:p>
    <w:p w14:paraId="07F4989B">
      <w:pPr>
        <w:rPr>
          <w:rFonts w:hint="eastAsia"/>
        </w:rPr>
      </w:pPr>
      <w:r>
        <w:rPr>
          <w:rFonts w:hint="eastAsia"/>
        </w:rPr>
        <w:t xml:space="preserve">   学员将在导师指导下完成一项小型研究项目，形成可视化成果，深入体验欧洲学术标准与科研流程。最后一周为巴塞罗那文化体验，通过城市探索与文化浸润拓展国际视野。项目以“学术筑基、文化拓界”为理念，致力于培养兼具研究素养与跨文化理解力的国际化人才。</w:t>
      </w:r>
    </w:p>
    <w:p w14:paraId="2789822D">
      <w:pPr>
        <w:rPr>
          <w:rFonts w:hint="eastAsia"/>
        </w:rPr>
      </w:pPr>
    </w:p>
    <w:p w14:paraId="6153C7EB">
      <w:pPr>
        <w:rPr>
          <w:rFonts w:hint="eastAsia"/>
        </w:rPr>
      </w:pPr>
      <w:r>
        <w:rPr>
          <w:rFonts w:hint="eastAsia"/>
        </w:rPr>
        <w:t>一、申请资格</w:t>
      </w:r>
    </w:p>
    <w:p w14:paraId="60F3598A">
      <w:pPr>
        <w:rPr>
          <w:rFonts w:hint="eastAsia"/>
        </w:rPr>
      </w:pPr>
      <w:r>
        <w:rPr>
          <w:rFonts w:hint="eastAsia"/>
          <w:lang w:val="en-US" w:eastAsia="zh-CN"/>
        </w:rPr>
        <w:t>1</w:t>
      </w:r>
      <w:r>
        <w:t>.具备良好的英语听、说、读、写能力；</w:t>
      </w:r>
    </w:p>
    <w:p w14:paraId="72BEEAC2">
      <w:pPr>
        <w:rPr>
          <w:rFonts w:hint="eastAsia"/>
        </w:rPr>
      </w:pPr>
      <w:r>
        <w:rPr>
          <w:rFonts w:hint="eastAsia"/>
          <w:lang w:val="en-US" w:eastAsia="zh-CN"/>
        </w:rPr>
        <w:t>2</w:t>
      </w:r>
      <w:r>
        <w:t>.有能力在西班牙顺利完成交流学习。</w:t>
      </w:r>
    </w:p>
    <w:p w14:paraId="2140F656">
      <w:pPr>
        <w:rPr>
          <w:rFonts w:hint="eastAsia"/>
        </w:rPr>
      </w:pPr>
      <w:r>
        <w:rPr>
          <w:rFonts w:hint="eastAsia"/>
        </w:rPr>
        <w:t>二、授课语言：英语</w:t>
      </w:r>
    </w:p>
    <w:p w14:paraId="5436FD69">
      <w:pPr>
        <w:rPr>
          <w:rFonts w:hint="eastAsia"/>
        </w:rPr>
      </w:pPr>
      <w:r>
        <w:rPr>
          <w:rFonts w:hint="eastAsia"/>
        </w:rPr>
        <w:t xml:space="preserve">三、推荐专业：不限 </w:t>
      </w:r>
    </w:p>
    <w:p w14:paraId="5CA47983">
      <w:pPr>
        <w:rPr>
          <w:rFonts w:hint="eastAsia"/>
        </w:rPr>
      </w:pPr>
      <w:r>
        <w:rPr>
          <w:rFonts w:hint="eastAsia"/>
        </w:rPr>
        <w:t>四、学习时间：</w:t>
      </w:r>
      <w:r>
        <w:t>202</w:t>
      </w:r>
      <w:r>
        <w:rPr>
          <w:rFonts w:hint="eastAsia"/>
        </w:rPr>
        <w:t>6</w:t>
      </w:r>
      <w:r>
        <w:t>年</w:t>
      </w:r>
      <w:r>
        <w:rPr>
          <w:rFonts w:hint="eastAsia"/>
        </w:rPr>
        <w:t>7</w:t>
      </w:r>
      <w:r>
        <w:t>月</w:t>
      </w:r>
      <w:r>
        <w:rPr>
          <w:rFonts w:hint="eastAsia"/>
        </w:rPr>
        <w:t>13</w:t>
      </w:r>
      <w:r>
        <w:t>日-202</w:t>
      </w:r>
      <w:r>
        <w:rPr>
          <w:rFonts w:hint="eastAsia"/>
        </w:rPr>
        <w:t>6</w:t>
      </w:r>
      <w:r>
        <w:t>年</w:t>
      </w:r>
      <w:r>
        <w:rPr>
          <w:rFonts w:hint="eastAsia"/>
        </w:rPr>
        <w:t>8</w:t>
      </w:r>
      <w:r>
        <w:t>月</w:t>
      </w:r>
      <w:r>
        <w:rPr>
          <w:rFonts w:hint="eastAsia"/>
        </w:rPr>
        <w:t>5</w:t>
      </w:r>
      <w:r>
        <w:t>日</w:t>
      </w:r>
    </w:p>
    <w:p w14:paraId="2CD684A9">
      <w:pPr>
        <w:rPr>
          <w:rFonts w:hint="eastAsia"/>
        </w:rPr>
      </w:pPr>
      <w:r>
        <w:rPr>
          <w:rFonts w:hint="eastAsia"/>
        </w:rPr>
        <w:t>五、费用情况：</w:t>
      </w:r>
    </w:p>
    <w:p w14:paraId="3CAC1AB7">
      <w:pPr>
        <w:rPr>
          <w:rFonts w:hint="eastAsia"/>
        </w:rPr>
      </w:pPr>
      <w:r>
        <w:t>1.需要按正常标准向</w:t>
      </w:r>
      <w:r>
        <w:rPr>
          <w:rFonts w:hint="eastAsia"/>
        </w:rPr>
        <w:t>U</w:t>
      </w:r>
      <w:r>
        <w:t>AB</w:t>
      </w:r>
      <w:r>
        <w:rPr>
          <w:rFonts w:hint="eastAsia"/>
        </w:rPr>
        <w:t>缴纳项目</w:t>
      </w:r>
      <w:r>
        <w:t>费</w:t>
      </w:r>
      <w:r>
        <w:rPr>
          <w:rFonts w:hint="eastAsia"/>
        </w:rPr>
        <w:t>368</w:t>
      </w:r>
      <w:r>
        <w:t>00</w:t>
      </w:r>
      <w:r>
        <w:rPr>
          <w:rFonts w:hint="eastAsia"/>
        </w:rPr>
        <w:t>人民币</w:t>
      </w:r>
    </w:p>
    <w:p w14:paraId="3F0E3590">
      <w:pPr>
        <w:rPr>
          <w:rFonts w:hint="eastAsia"/>
        </w:rPr>
      </w:pPr>
      <w:r>
        <w:t>2.</w:t>
      </w:r>
      <w:r>
        <w:rPr>
          <w:rFonts w:hint="eastAsia"/>
        </w:rPr>
        <w:t>费用涵盖全部课程费用、住宿费以及全部景点的门票费，不含往返机票、签证费以及其他个人开销费用。</w:t>
      </w:r>
    </w:p>
    <w:p w14:paraId="15058022">
      <w:pPr>
        <w:rPr>
          <w:rFonts w:hint="eastAsia"/>
        </w:rPr>
      </w:pPr>
      <w:r>
        <w:rPr>
          <w:rFonts w:hint="eastAsia"/>
        </w:rPr>
        <w:t>六、报名及截止时间</w:t>
      </w:r>
    </w:p>
    <w:p w14:paraId="01FB1F46">
      <w:pPr>
        <w:rPr>
          <w:rFonts w:hint="eastAsia"/>
        </w:rPr>
      </w:pPr>
      <w:r>
        <w:t>1.报名材料：</w:t>
      </w:r>
    </w:p>
    <w:p w14:paraId="52264120">
      <w:pPr>
        <w:pStyle w:val="10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PGGE项目申请表</w:t>
      </w:r>
    </w:p>
    <w:p w14:paraId="209D5619">
      <w:pPr>
        <w:pStyle w:val="10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有效护照扫描件</w:t>
      </w:r>
    </w:p>
    <w:p w14:paraId="4EFCBF05">
      <w:pPr>
        <w:pStyle w:val="10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所在大学的官方成绩单扫描件，包括</w:t>
      </w:r>
      <w:r>
        <w:t>GPA或同等成绩(如适用)。</w:t>
      </w:r>
    </w:p>
    <w:p w14:paraId="5138F6A9">
      <w:pPr>
        <w:pStyle w:val="10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护照</w:t>
      </w:r>
      <w:r>
        <w:t>照片</w:t>
      </w:r>
      <w:r>
        <w:rPr>
          <w:rFonts w:hint="eastAsia"/>
        </w:rPr>
        <w:t>（JPG格式</w:t>
      </w:r>
      <w:r>
        <w:t>，</w:t>
      </w:r>
      <w:r>
        <w:rPr>
          <w:rFonts w:hint="eastAsia"/>
        </w:rPr>
        <w:t>欧盟要求</w:t>
      </w:r>
      <w:r>
        <w:t>)</w:t>
      </w:r>
    </w:p>
    <w:p w14:paraId="33C1B9AB">
      <w:pPr>
        <w:pStyle w:val="10"/>
        <w:numPr>
          <w:ilvl w:val="0"/>
          <w:numId w:val="1"/>
        </w:numPr>
        <w:ind w:firstLineChars="0"/>
        <w:rPr>
          <w:rFonts w:hint="eastAsia"/>
        </w:rPr>
      </w:pPr>
      <w:r>
        <w:rPr>
          <w:rFonts w:hint="eastAsia"/>
        </w:rPr>
        <w:t>个人医疗保险（不低于1</w:t>
      </w:r>
      <w:r>
        <w:t>0</w:t>
      </w:r>
      <w:r>
        <w:rPr>
          <w:rFonts w:hint="eastAsia"/>
        </w:rPr>
        <w:t>万欧元保额的保费约为850人民币左右，符合签证中心要求，到校后提供）</w:t>
      </w:r>
    </w:p>
    <w:p w14:paraId="29FCA705">
      <w:pPr>
        <w:rPr>
          <w:rFonts w:hint="eastAsia"/>
        </w:rPr>
      </w:pPr>
      <w:r>
        <w:t>2.校内报名截止日期： 202</w:t>
      </w:r>
      <w:r>
        <w:rPr>
          <w:rFonts w:hint="eastAsia"/>
        </w:rPr>
        <w:t>6年5月1</w:t>
      </w:r>
      <w:r>
        <w:rPr>
          <w:rFonts w:hint="eastAsia"/>
          <w:lang w:val="en-US" w:eastAsia="zh-CN"/>
        </w:rPr>
        <w:t>0</w:t>
      </w:r>
      <w:r>
        <w:rPr>
          <w:rFonts w:hint="eastAsia"/>
        </w:rPr>
        <w:t>日</w:t>
      </w:r>
    </w:p>
    <w:p w14:paraId="5CA032BF">
      <w:pPr>
        <w:rPr>
          <w:rFonts w:hint="eastAsia"/>
        </w:rPr>
      </w:pPr>
      <w:r>
        <w:t>3.名额限制：</w:t>
      </w:r>
      <w:r>
        <w:rPr>
          <w:rFonts w:hint="eastAsia"/>
        </w:rPr>
        <w:t>不限</w:t>
      </w:r>
    </w:p>
    <w:p w14:paraId="08C7B19E">
      <w:pPr>
        <w:rPr>
          <w:rFonts w:hint="eastAsia"/>
        </w:rPr>
      </w:pPr>
      <w:r>
        <w:rPr>
          <w:rFonts w:hint="eastAsia"/>
        </w:rPr>
        <w:t>七、申请 </w:t>
      </w:r>
    </w:p>
    <w:p w14:paraId="3D2AF26C">
      <w:pPr>
        <w:rPr>
          <w:rFonts w:hint="eastAsia"/>
        </w:rPr>
      </w:pPr>
      <w:r>
        <w:t xml:space="preserve">1.网上申请： </w:t>
      </w:r>
    </w:p>
    <w:p w14:paraId="2AA1A7AD">
      <w:pPr>
        <w:rPr>
          <w:rFonts w:hint="eastAsia"/>
        </w:rPr>
      </w:pPr>
      <w:r>
        <w:rPr>
          <w:rFonts w:hint="eastAsia"/>
        </w:rPr>
        <w:t>（</w:t>
      </w:r>
      <w:r>
        <w:t>1）</w:t>
      </w:r>
      <w:r>
        <w:rPr>
          <w:rFonts w:hint="eastAsia"/>
        </w:rPr>
        <w:t>项目</w:t>
      </w:r>
      <w:r>
        <w:t>申请表</w:t>
      </w:r>
    </w:p>
    <w:p w14:paraId="4AB08141">
      <w:pPr>
        <w:rPr>
          <w:rFonts w:hint="eastAsia"/>
        </w:rPr>
      </w:pPr>
      <w:r>
        <w:rPr>
          <w:rFonts w:hint="eastAsia"/>
        </w:rPr>
        <w:t>（2）雅思成绩证明（欧标B1标准，若无，则需参加由U</w:t>
      </w:r>
      <w:r>
        <w:t>AB</w:t>
      </w:r>
      <w:r>
        <w:rPr>
          <w:rFonts w:hint="eastAsia"/>
        </w:rPr>
        <w:t>校方统一组织的英语口语面试）</w:t>
      </w:r>
    </w:p>
    <w:p w14:paraId="48A6B443">
      <w:pPr>
        <w:rPr>
          <w:rFonts w:hint="eastAsia"/>
        </w:rPr>
      </w:pPr>
      <w:r>
        <w:rPr>
          <w:rFonts w:hint="eastAsia"/>
        </w:rPr>
        <w:t>八、项目详情：</w:t>
      </w: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765"/>
        <w:gridCol w:w="2765"/>
        <w:gridCol w:w="2766"/>
      </w:tblGrid>
      <w:tr w14:paraId="3C60FB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65" w:type="dxa"/>
            <w:vAlign w:val="center"/>
          </w:tcPr>
          <w:p w14:paraId="17E6E132">
            <w:pPr>
              <w:adjustRightInd w:val="0"/>
              <w:snapToGrid w:val="0"/>
              <w:jc w:val="center"/>
              <w:rPr>
                <w:rFonts w:hint="eastAsia" w:eastAsiaTheme="minorHAnsi"/>
                <w:sz w:val="24"/>
                <w:szCs w:val="24"/>
              </w:rPr>
            </w:pPr>
            <w:r>
              <w:rPr>
                <w:rFonts w:hint="eastAsia" w:cs="Arial" w:eastAsiaTheme="minorHAnsi"/>
                <w:b/>
                <w:bCs/>
                <w:kern w:val="24"/>
                <w:sz w:val="24"/>
                <w:szCs w:val="24"/>
              </w:rPr>
              <w:t>Timetable</w:t>
            </w:r>
          </w:p>
        </w:tc>
        <w:tc>
          <w:tcPr>
            <w:tcW w:w="2765" w:type="dxa"/>
            <w:vAlign w:val="center"/>
          </w:tcPr>
          <w:p w14:paraId="0F59E6DA">
            <w:pPr>
              <w:adjustRightInd w:val="0"/>
              <w:snapToGrid w:val="0"/>
              <w:jc w:val="center"/>
              <w:rPr>
                <w:rFonts w:hint="eastAsia" w:cs="Arial" w:eastAsiaTheme="minorHAnsi"/>
                <w:b/>
                <w:bCs/>
                <w:kern w:val="24"/>
                <w:sz w:val="24"/>
                <w:szCs w:val="24"/>
              </w:rPr>
            </w:pPr>
            <w:r>
              <w:rPr>
                <w:rFonts w:hint="eastAsia" w:cs="Arial" w:eastAsiaTheme="minorHAnsi"/>
                <w:b/>
                <w:bCs/>
                <w:kern w:val="24"/>
                <w:sz w:val="24"/>
                <w:szCs w:val="24"/>
              </w:rPr>
              <w:t>Study in UAB</w:t>
            </w:r>
          </w:p>
        </w:tc>
        <w:tc>
          <w:tcPr>
            <w:tcW w:w="2766" w:type="dxa"/>
            <w:vAlign w:val="center"/>
          </w:tcPr>
          <w:p w14:paraId="06F9E8B4">
            <w:pPr>
              <w:adjustRightInd w:val="0"/>
              <w:snapToGrid w:val="0"/>
              <w:rPr>
                <w:rFonts w:hint="eastAsia" w:cs="Arial" w:eastAsiaTheme="minorHAnsi"/>
                <w:b/>
                <w:bCs/>
                <w:kern w:val="24"/>
                <w:sz w:val="24"/>
                <w:szCs w:val="24"/>
              </w:rPr>
            </w:pPr>
            <w:r>
              <w:rPr>
                <w:rFonts w:hint="eastAsia" w:cs="Arial" w:eastAsiaTheme="minorHAnsi"/>
                <w:b/>
                <w:bCs/>
                <w:kern w:val="24"/>
                <w:sz w:val="24"/>
                <w:szCs w:val="24"/>
              </w:rPr>
              <w:t>Play in Barcelona</w:t>
            </w:r>
          </w:p>
        </w:tc>
      </w:tr>
      <w:tr w14:paraId="684966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65" w:type="dxa"/>
            <w:vAlign w:val="center"/>
          </w:tcPr>
          <w:p w14:paraId="0F6E5F98">
            <w:pPr>
              <w:pStyle w:val="5"/>
              <w:adjustRightInd w:val="0"/>
              <w:snapToGrid w:val="0"/>
              <w:jc w:val="center"/>
              <w:textAlignment w:val="center"/>
              <w:rPr>
                <w:rFonts w:hint="eastAsia" w:cs="Arial" w:asciiTheme="minorHAnsi" w:hAnsiTheme="minorHAnsi" w:eastAsiaTheme="minorHAnsi"/>
              </w:rPr>
            </w:pPr>
            <w:r>
              <w:rPr>
                <w:rFonts w:hint="eastAsia" w:cs="Arial" w:asciiTheme="minorHAnsi" w:hAnsiTheme="minorHAnsi" w:eastAsiaTheme="minorHAnsi"/>
                <w:color w:val="000000"/>
                <w:kern w:val="24"/>
              </w:rPr>
              <w:t>Week1</w:t>
            </w:r>
          </w:p>
          <w:p w14:paraId="6F8A6FB7">
            <w:pPr>
              <w:adjustRightInd w:val="0"/>
              <w:snapToGrid w:val="0"/>
              <w:ind w:firstLine="240" w:firstLineChars="100"/>
              <w:rPr>
                <w:rFonts w:hint="eastAsia" w:eastAsiaTheme="minorHAnsi"/>
                <w:sz w:val="24"/>
                <w:szCs w:val="24"/>
              </w:rPr>
            </w:pPr>
            <w:r>
              <w:rPr>
                <w:rFonts w:hint="eastAsia" w:cs="Arial" w:eastAsiaTheme="minorHAnsi"/>
                <w:color w:val="000000"/>
                <w:kern w:val="24"/>
                <w:sz w:val="24"/>
                <w:szCs w:val="24"/>
              </w:rPr>
              <w:t>Jul.13-Jul.17, 2026</w:t>
            </w:r>
          </w:p>
        </w:tc>
        <w:tc>
          <w:tcPr>
            <w:tcW w:w="2765" w:type="dxa"/>
            <w:vAlign w:val="center"/>
          </w:tcPr>
          <w:p w14:paraId="2CECA037">
            <w:pPr>
              <w:pStyle w:val="5"/>
              <w:adjustRightInd w:val="0"/>
              <w:snapToGrid w:val="0"/>
              <w:jc w:val="center"/>
              <w:textAlignment w:val="center"/>
              <w:rPr>
                <w:rFonts w:hint="eastAsia" w:cs="Arial" w:asciiTheme="minorHAnsi" w:hAnsiTheme="minorHAnsi" w:eastAsiaTheme="minorHAnsi"/>
                <w:color w:val="000000"/>
                <w:kern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</w:pPr>
            <w:r>
              <w:rPr>
                <w:rFonts w:hint="eastAsia" w:cs="Arial" w:asciiTheme="minorHAnsi" w:hAnsiTheme="minorHAnsi" w:eastAsiaTheme="minorHAnsi"/>
                <w:color w:val="000000"/>
                <w:kern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  <w:t>研究方法课程</w:t>
            </w:r>
          </w:p>
        </w:tc>
        <w:tc>
          <w:tcPr>
            <w:tcW w:w="2766" w:type="dxa"/>
            <w:vAlign w:val="center"/>
          </w:tcPr>
          <w:p w14:paraId="0CCB24A4">
            <w:pPr>
              <w:adjustRightInd w:val="0"/>
              <w:snapToGrid w:val="0"/>
              <w:rPr>
                <w:rFonts w:hint="eastAsia" w:cs="Arial" w:eastAsiaTheme="minorHAnsi"/>
                <w:color w:val="000000"/>
                <w:kern w:val="24"/>
                <w:sz w:val="24"/>
                <w:szCs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</w:pPr>
            <w:r>
              <w:rPr>
                <w:rFonts w:hint="eastAsia" w:cs="Arial" w:eastAsiaTheme="minorHAnsi"/>
                <w:color w:val="000000"/>
                <w:kern w:val="24"/>
                <w:sz w:val="24"/>
                <w:szCs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  <w:t>圣家族大教堂、米拉之家、巴特罗之家</w:t>
            </w:r>
          </w:p>
        </w:tc>
      </w:tr>
      <w:tr w14:paraId="4EF5F2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65" w:type="dxa"/>
            <w:vAlign w:val="center"/>
          </w:tcPr>
          <w:p w14:paraId="3670E1A5">
            <w:pPr>
              <w:pStyle w:val="5"/>
              <w:adjustRightInd w:val="0"/>
              <w:snapToGrid w:val="0"/>
              <w:jc w:val="center"/>
              <w:textAlignment w:val="center"/>
              <w:rPr>
                <w:rFonts w:hint="eastAsia" w:cs="Arial" w:asciiTheme="minorHAnsi" w:hAnsiTheme="minorHAnsi" w:eastAsiaTheme="minorHAnsi"/>
              </w:rPr>
            </w:pPr>
            <w:r>
              <w:rPr>
                <w:rFonts w:hint="eastAsia" w:cs="Arial" w:asciiTheme="minorHAnsi" w:hAnsiTheme="minorHAnsi" w:eastAsiaTheme="minorHAnsi"/>
                <w:color w:val="000000"/>
                <w:kern w:val="24"/>
              </w:rPr>
              <w:t>Week2</w:t>
            </w:r>
          </w:p>
          <w:p w14:paraId="62DD86BF">
            <w:pPr>
              <w:adjustRightInd w:val="0"/>
              <w:snapToGrid w:val="0"/>
              <w:ind w:firstLine="240" w:firstLineChars="100"/>
              <w:rPr>
                <w:rFonts w:hint="eastAsia" w:eastAsiaTheme="minorHAnsi"/>
                <w:sz w:val="24"/>
                <w:szCs w:val="24"/>
              </w:rPr>
            </w:pPr>
            <w:r>
              <w:rPr>
                <w:rFonts w:hint="eastAsia" w:cs="Arial" w:eastAsiaTheme="minorHAnsi"/>
                <w:color w:val="000000"/>
                <w:kern w:val="24"/>
                <w:sz w:val="24"/>
                <w:szCs w:val="24"/>
              </w:rPr>
              <w:t>Jul.20-Jul.24, 2026</w:t>
            </w:r>
          </w:p>
        </w:tc>
        <w:tc>
          <w:tcPr>
            <w:tcW w:w="2765" w:type="dxa"/>
            <w:vAlign w:val="center"/>
          </w:tcPr>
          <w:p w14:paraId="67872ECB">
            <w:pPr>
              <w:pStyle w:val="5"/>
              <w:adjustRightInd w:val="0"/>
              <w:snapToGrid w:val="0"/>
              <w:jc w:val="center"/>
              <w:textAlignment w:val="center"/>
              <w:rPr>
                <w:rFonts w:hint="eastAsia" w:cs="Arial" w:asciiTheme="minorHAnsi" w:hAnsiTheme="minorHAnsi" w:eastAsiaTheme="minorHAnsi"/>
                <w:color w:val="000000"/>
                <w:kern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</w:pPr>
            <w:r>
              <w:rPr>
                <w:rFonts w:hint="eastAsia" w:cs="Arial" w:asciiTheme="minorHAnsi" w:hAnsiTheme="minorHAnsi" w:eastAsiaTheme="minorHAnsi"/>
                <w:color w:val="000000"/>
                <w:kern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  <w:t>学术技能课程</w:t>
            </w:r>
          </w:p>
        </w:tc>
        <w:tc>
          <w:tcPr>
            <w:tcW w:w="2766" w:type="dxa"/>
            <w:vAlign w:val="center"/>
          </w:tcPr>
          <w:p w14:paraId="481B00AE">
            <w:pPr>
              <w:adjustRightInd w:val="0"/>
              <w:snapToGrid w:val="0"/>
              <w:rPr>
                <w:rFonts w:hint="eastAsia" w:cs="Arial" w:eastAsiaTheme="minorHAnsi"/>
                <w:color w:val="000000"/>
                <w:kern w:val="24"/>
                <w:sz w:val="24"/>
                <w:szCs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</w:pPr>
            <w:r>
              <w:rPr>
                <w:rFonts w:hint="eastAsia" w:cs="Arial" w:eastAsiaTheme="minorHAnsi"/>
                <w:color w:val="000000"/>
                <w:kern w:val="24"/>
                <w:sz w:val="24"/>
                <w:szCs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  <w:t>奎尔公园、加泰罗尼亚音乐宫、毕加索博物馆</w:t>
            </w:r>
          </w:p>
        </w:tc>
      </w:tr>
      <w:tr w14:paraId="4036CC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65" w:type="dxa"/>
            <w:vAlign w:val="center"/>
          </w:tcPr>
          <w:p w14:paraId="00E20901">
            <w:pPr>
              <w:pStyle w:val="5"/>
              <w:adjustRightInd w:val="0"/>
              <w:snapToGrid w:val="0"/>
              <w:jc w:val="center"/>
              <w:textAlignment w:val="center"/>
              <w:rPr>
                <w:rFonts w:hint="eastAsia" w:cs="Arial" w:asciiTheme="minorHAnsi" w:hAnsiTheme="minorHAnsi" w:eastAsiaTheme="minorHAnsi"/>
              </w:rPr>
            </w:pPr>
            <w:r>
              <w:rPr>
                <w:rFonts w:hint="eastAsia" w:cs="Arial" w:asciiTheme="minorHAnsi" w:hAnsiTheme="minorHAnsi" w:eastAsiaTheme="minorHAnsi"/>
                <w:color w:val="000000"/>
                <w:kern w:val="24"/>
              </w:rPr>
              <w:t>Week3</w:t>
            </w:r>
          </w:p>
          <w:p w14:paraId="4C5FF436">
            <w:pPr>
              <w:adjustRightInd w:val="0"/>
              <w:snapToGrid w:val="0"/>
              <w:ind w:firstLine="240" w:firstLineChars="100"/>
              <w:rPr>
                <w:rFonts w:hint="eastAsia" w:eastAsiaTheme="minorHAnsi"/>
                <w:sz w:val="24"/>
                <w:szCs w:val="24"/>
              </w:rPr>
            </w:pPr>
            <w:r>
              <w:rPr>
                <w:rFonts w:hint="eastAsia" w:cs="Arial" w:eastAsiaTheme="minorHAnsi"/>
                <w:color w:val="000000"/>
                <w:kern w:val="24"/>
                <w:sz w:val="24"/>
                <w:szCs w:val="24"/>
              </w:rPr>
              <w:t>Jul.27-Jul.31, 2026</w:t>
            </w:r>
          </w:p>
        </w:tc>
        <w:tc>
          <w:tcPr>
            <w:tcW w:w="2765" w:type="dxa"/>
            <w:vAlign w:val="center"/>
          </w:tcPr>
          <w:p w14:paraId="1828A352">
            <w:pPr>
              <w:pStyle w:val="5"/>
              <w:adjustRightInd w:val="0"/>
              <w:snapToGrid w:val="0"/>
              <w:jc w:val="center"/>
              <w:textAlignment w:val="center"/>
              <w:rPr>
                <w:rFonts w:hint="eastAsia" w:cs="Arial" w:asciiTheme="minorHAnsi" w:hAnsiTheme="minorHAnsi" w:eastAsiaTheme="minorHAnsi"/>
                <w:color w:val="000000"/>
                <w:kern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</w:pPr>
            <w:r>
              <w:rPr>
                <w:rFonts w:hint="eastAsia" w:cs="Arial" w:asciiTheme="minorHAnsi" w:hAnsiTheme="minorHAnsi" w:eastAsiaTheme="minorHAnsi"/>
                <w:color w:val="000000"/>
                <w:kern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  <w:t>导师指导研究项目</w:t>
            </w:r>
          </w:p>
        </w:tc>
        <w:tc>
          <w:tcPr>
            <w:tcW w:w="2766" w:type="dxa"/>
            <w:vAlign w:val="center"/>
          </w:tcPr>
          <w:p w14:paraId="6A0E4340">
            <w:pPr>
              <w:adjustRightInd w:val="0"/>
              <w:snapToGrid w:val="0"/>
              <w:rPr>
                <w:rFonts w:hint="eastAsia" w:cs="Arial" w:eastAsiaTheme="minorHAnsi"/>
                <w:color w:val="000000"/>
                <w:kern w:val="24"/>
                <w:sz w:val="24"/>
                <w:szCs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</w:pPr>
            <w:r>
              <w:rPr>
                <w:rFonts w:hint="eastAsia" w:cs="Arial" w:eastAsiaTheme="minorHAnsi"/>
                <w:color w:val="000000"/>
                <w:kern w:val="24"/>
                <w:sz w:val="24"/>
                <w:szCs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  <w:t>诺坎普球场、奥林匹克体育场、蒙特惠奇城堡、米罗博物馆、加泰艺术博物馆</w:t>
            </w:r>
          </w:p>
        </w:tc>
      </w:tr>
      <w:tr w14:paraId="55008D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765" w:type="dxa"/>
            <w:vAlign w:val="center"/>
          </w:tcPr>
          <w:p w14:paraId="1DD60AAE">
            <w:pPr>
              <w:pStyle w:val="5"/>
              <w:adjustRightInd w:val="0"/>
              <w:snapToGrid w:val="0"/>
              <w:jc w:val="center"/>
              <w:textAlignment w:val="center"/>
              <w:rPr>
                <w:rFonts w:hint="eastAsia" w:cs="Arial" w:asciiTheme="minorHAnsi" w:hAnsiTheme="minorHAnsi" w:eastAsiaTheme="minorHAnsi"/>
              </w:rPr>
            </w:pPr>
            <w:r>
              <w:rPr>
                <w:rFonts w:hint="eastAsia" w:cs="Arial" w:asciiTheme="minorHAnsi" w:hAnsiTheme="minorHAnsi" w:eastAsiaTheme="minorHAnsi"/>
                <w:color w:val="000000"/>
                <w:kern w:val="24"/>
              </w:rPr>
              <w:t>Week4</w:t>
            </w:r>
          </w:p>
          <w:p w14:paraId="11508466">
            <w:pPr>
              <w:adjustRightInd w:val="0"/>
              <w:snapToGrid w:val="0"/>
              <w:ind w:firstLine="240" w:firstLineChars="100"/>
              <w:rPr>
                <w:rFonts w:hint="eastAsia" w:eastAsiaTheme="minorHAnsi"/>
                <w:sz w:val="24"/>
                <w:szCs w:val="24"/>
              </w:rPr>
            </w:pPr>
            <w:r>
              <w:rPr>
                <w:rFonts w:hint="eastAsia" w:cs="Arial" w:eastAsiaTheme="minorHAnsi"/>
                <w:color w:val="000000"/>
                <w:kern w:val="24"/>
                <w:sz w:val="24"/>
                <w:szCs w:val="24"/>
              </w:rPr>
              <w:t>Aug.1-Aug.5, 2026</w:t>
            </w:r>
          </w:p>
        </w:tc>
        <w:tc>
          <w:tcPr>
            <w:tcW w:w="2765" w:type="dxa"/>
            <w:vAlign w:val="center"/>
          </w:tcPr>
          <w:p w14:paraId="58F4097B">
            <w:pPr>
              <w:pStyle w:val="5"/>
              <w:adjustRightInd w:val="0"/>
              <w:snapToGrid w:val="0"/>
              <w:jc w:val="center"/>
              <w:textAlignment w:val="center"/>
              <w:rPr>
                <w:rFonts w:hint="eastAsia" w:cs="Arial" w:asciiTheme="minorHAnsi" w:hAnsiTheme="minorHAnsi" w:eastAsiaTheme="minorHAnsi"/>
                <w:color w:val="000000"/>
                <w:kern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</w:pPr>
            <w:r>
              <w:rPr>
                <w:rFonts w:hint="eastAsia" w:cs="Arial" w:asciiTheme="minorHAnsi" w:hAnsiTheme="minorHAnsi" w:eastAsiaTheme="minorHAnsi"/>
                <w:color w:val="000000"/>
                <w:kern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  <w:t>文化体验与城市探索</w:t>
            </w:r>
          </w:p>
        </w:tc>
        <w:tc>
          <w:tcPr>
            <w:tcW w:w="2766" w:type="dxa"/>
            <w:vAlign w:val="center"/>
          </w:tcPr>
          <w:p w14:paraId="251C9804">
            <w:pPr>
              <w:adjustRightInd w:val="0"/>
              <w:snapToGrid w:val="0"/>
              <w:rPr>
                <w:rFonts w:hint="eastAsia" w:cs="Arial" w:eastAsiaTheme="minorHAnsi"/>
                <w:color w:val="000000"/>
                <w:kern w:val="24"/>
                <w:sz w:val="24"/>
                <w:szCs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</w:pPr>
            <w:r>
              <w:rPr>
                <w:rFonts w:hint="eastAsia" w:cs="Arial" w:eastAsiaTheme="minorHAnsi"/>
                <w:color w:val="000000"/>
                <w:kern w:val="24"/>
                <w:sz w:val="24"/>
                <w:szCs w:val="24"/>
                <w14:textFill>
                  <w14:solidFill>
                    <w14:srgbClr w14:val="000000">
                      <w14:lumMod w14:val="85000"/>
                      <w14:lumOff w14:val="15000"/>
                    </w14:srgbClr>
                  </w14:solidFill>
                </w14:textFill>
              </w:rPr>
              <w:t>蒙特塞拉特山、锡切斯小镇、赫罗纳、贝萨卢</w:t>
            </w:r>
          </w:p>
        </w:tc>
      </w:tr>
    </w:tbl>
    <w:p w14:paraId="5D73CD22">
      <w:pPr>
        <w:rPr>
          <w:rFonts w:hint="eastAsia"/>
        </w:rPr>
      </w:pPr>
    </w:p>
    <w:p w14:paraId="0194C08A">
      <w:pPr>
        <w:rPr>
          <w:rFonts w:hint="eastAsia"/>
        </w:rPr>
      </w:pPr>
    </w:p>
    <w:p w14:paraId="3602ECB9">
      <w:pPr>
        <w:rPr>
          <w:rFonts w:hint="eastAsia"/>
        </w:rPr>
      </w:pPr>
      <w:r>
        <w:rPr>
          <w:rFonts w:hint="eastAsia"/>
        </w:rPr>
        <w:t>学术课题研究</w:t>
      </w:r>
    </w:p>
    <w:p w14:paraId="0D3BF674">
      <w:pPr>
        <w:rPr>
          <w:rFonts w:hint="eastAsia"/>
        </w:rPr>
      </w:pPr>
      <w:bookmarkStart w:id="0" w:name="OLE_LINK3"/>
      <w:bookmarkStart w:id="1" w:name="_Hlk195183889"/>
      <w:bookmarkStart w:id="2" w:name="OLE_LINK2"/>
      <w:r>
        <w:rPr>
          <w:rFonts w:hint="eastAsia"/>
          <w:b/>
          <w:bCs/>
        </w:rPr>
        <w:t>课题选择：Using Artificial Intelligence for Business  人工智能在商业领域的应用研究</w:t>
      </w:r>
      <w:bookmarkStart w:id="3" w:name="_GoBack"/>
      <w:bookmarkEnd w:id="3"/>
    </w:p>
    <w:bookmarkEnd w:id="0"/>
    <w:bookmarkEnd w:id="1"/>
    <w:bookmarkEnd w:id="2"/>
    <w:p w14:paraId="2198A2E1">
      <w:pPr>
        <w:rPr>
          <w:rFonts w:hint="eastAsia"/>
        </w:rPr>
      </w:pPr>
    </w:p>
    <w:p w14:paraId="3414C02F">
      <w:pPr>
        <w:rPr>
          <w:rFonts w:hint="eastAsia"/>
        </w:rPr>
      </w:pPr>
      <w:r>
        <w:rPr>
          <w:rFonts w:hint="eastAsia"/>
        </w:rPr>
        <w:t>注：根据U</w:t>
      </w:r>
      <w:r>
        <w:t>AB</w:t>
      </w:r>
      <w:r>
        <w:rPr>
          <w:rFonts w:hint="eastAsia"/>
        </w:rPr>
        <w:t>口语面试结果，将会分为三个等级：</w:t>
      </w:r>
    </w:p>
    <w:p w14:paraId="3E9185A4">
      <w:pPr>
        <w:rPr>
          <w:rFonts w:hint="eastAsia"/>
        </w:rPr>
      </w:pPr>
      <w:r>
        <w:rPr>
          <w:rFonts w:hint="eastAsia"/>
        </w:rPr>
        <w:t>第一等级为“通过”，此类学生将可以任意选择上述10门课进行修习。</w:t>
      </w:r>
    </w:p>
    <w:p w14:paraId="74822B3B">
      <w:pPr>
        <w:rPr>
          <w:rFonts w:hint="eastAsia"/>
        </w:rPr>
      </w:pPr>
      <w:r>
        <w:rPr>
          <w:rFonts w:hint="eastAsia"/>
        </w:rPr>
        <w:t xml:space="preserve">第二等级为“及格” </w:t>
      </w:r>
      <w:r>
        <w:t xml:space="preserve"> </w:t>
      </w:r>
      <w:r>
        <w:rPr>
          <w:rFonts w:hint="eastAsia"/>
        </w:rPr>
        <w:t>此类学生选修的5门课当中将必须选择1门“英语强化课程”修习。</w:t>
      </w:r>
    </w:p>
    <w:p w14:paraId="323E84FA">
      <w:pPr>
        <w:rPr>
          <w:rFonts w:hint="eastAsia"/>
        </w:rPr>
      </w:pPr>
      <w:r>
        <w:rPr>
          <w:rFonts w:hint="eastAsia"/>
        </w:rPr>
        <w:t>第三等级为“未通过”无法参加项目。</w:t>
      </w:r>
    </w:p>
    <w:p w14:paraId="7319259E">
      <w:pPr>
        <w:rPr>
          <w:rFonts w:hint="eastAsia"/>
        </w:rPr>
      </w:pPr>
      <w:r>
        <w:rPr>
          <w:rFonts w:hint="eastAsia"/>
        </w:rPr>
        <w:t>*参加英语面试的同学需支付2000元面试费，费用包含面试费、技巧培训、面试稿指导修改等费用</w:t>
      </w:r>
    </w:p>
    <w:p w14:paraId="14E49D1F">
      <w:pPr>
        <w:rPr>
          <w:rFonts w:hint="eastAsia"/>
        </w:rPr>
      </w:pPr>
      <w:r>
        <w:rPr>
          <w:rFonts w:hint="eastAsia"/>
        </w:rPr>
        <w:t>关于面试费的具体说明：</w:t>
      </w:r>
    </w:p>
    <w:p w14:paraId="55A0C4D3">
      <w:pPr>
        <w:rPr>
          <w:rFonts w:hint="eastAsia"/>
        </w:rPr>
      </w:pPr>
      <w:r>
        <w:rPr>
          <w:rFonts w:hint="eastAsia"/>
        </w:rPr>
        <w:t xml:space="preserve">1.如果通过面试并且正常参加项目，这个费用将抵扣后续学费费用 </w:t>
      </w:r>
    </w:p>
    <w:p w14:paraId="4782171B">
      <w:pPr>
        <w:rPr>
          <w:rFonts w:hint="eastAsia"/>
        </w:rPr>
      </w:pPr>
      <w:r>
        <w:rPr>
          <w:rFonts w:hint="eastAsia"/>
        </w:rPr>
        <w:t>2.如果未通过面试，面试费将全额退还（不包括蓄意参加面试不通过或蓄意弃权等情况）</w:t>
      </w:r>
    </w:p>
    <w:p w14:paraId="3ECDBBD4">
      <w:pPr>
        <w:rPr>
          <w:rFonts w:hint="eastAsia"/>
        </w:rPr>
      </w:pPr>
    </w:p>
    <w:p w14:paraId="0847CD1F">
      <w:pPr>
        <w:rPr>
          <w:rFonts w:hint="eastAsia"/>
        </w:rPr>
      </w:pPr>
      <w:r>
        <w:rPr>
          <w:rFonts w:hint="eastAsia"/>
        </w:rPr>
        <w:t>九、项目收获</w:t>
      </w:r>
    </w:p>
    <w:tbl>
      <w:tblPr>
        <w:tblStyle w:val="7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114"/>
        <w:gridCol w:w="5182"/>
      </w:tblGrid>
      <w:tr w14:paraId="2134247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 w14:paraId="6CD03130">
            <w:pPr>
              <w:adjustRightInd w:val="0"/>
              <w:snapToGrid w:val="0"/>
              <w:jc w:val="left"/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  <w:t xml:space="preserve">短期高密度研究训练 </w:t>
            </w:r>
          </w:p>
        </w:tc>
        <w:tc>
          <w:tcPr>
            <w:tcW w:w="5182" w:type="dxa"/>
            <w:vAlign w:val="center"/>
          </w:tcPr>
          <w:p w14:paraId="09FBF008">
            <w:pPr>
              <w:adjustRightInd w:val="0"/>
              <w:snapToGrid w:val="0"/>
              <w:jc w:val="left"/>
              <w:rPr>
                <w:rFonts w:hint="eastAsia" w:cs="Arial" w:eastAsiaTheme="minorHAnsi"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color w:val="000000"/>
                <w:kern w:val="24"/>
                <w:szCs w:val="21"/>
              </w:rPr>
              <w:t>3周内从方法论到实践完成mini research，体验完整研究流程</w:t>
            </w:r>
          </w:p>
        </w:tc>
      </w:tr>
      <w:tr w14:paraId="247F21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 w14:paraId="6867E6F5">
            <w:pPr>
              <w:adjustRightInd w:val="0"/>
              <w:snapToGrid w:val="0"/>
              <w:jc w:val="left"/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  <w:t>导师指导 &amp; 跨学科合作</w:t>
            </w:r>
          </w:p>
        </w:tc>
        <w:tc>
          <w:tcPr>
            <w:tcW w:w="5182" w:type="dxa"/>
            <w:vAlign w:val="center"/>
          </w:tcPr>
          <w:p w14:paraId="75143D43">
            <w:pPr>
              <w:adjustRightInd w:val="0"/>
              <w:snapToGrid w:val="0"/>
              <w:jc w:val="left"/>
              <w:rPr>
                <w:rFonts w:hint="eastAsia" w:cs="Arial" w:eastAsiaTheme="minorHAnsi"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color w:val="000000"/>
                <w:kern w:val="24"/>
                <w:szCs w:val="21"/>
              </w:rPr>
              <w:t>有导师监督和团队协作，体验真实科研环境</w:t>
            </w:r>
          </w:p>
        </w:tc>
      </w:tr>
      <w:tr w14:paraId="583FF4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 w14:paraId="3C3A2C14">
            <w:pPr>
              <w:adjustRightInd w:val="0"/>
              <w:snapToGrid w:val="0"/>
              <w:jc w:val="left"/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  <w:t>可视化成果产出</w:t>
            </w:r>
          </w:p>
        </w:tc>
        <w:tc>
          <w:tcPr>
            <w:tcW w:w="5182" w:type="dxa"/>
            <w:vAlign w:val="center"/>
          </w:tcPr>
          <w:p w14:paraId="1EB9C825">
            <w:pPr>
              <w:adjustRightInd w:val="0"/>
              <w:snapToGrid w:val="0"/>
              <w:jc w:val="left"/>
              <w:rPr>
                <w:rFonts w:hint="eastAsia" w:cs="Arial" w:eastAsiaTheme="minorHAnsi"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color w:val="000000"/>
                <w:kern w:val="24"/>
                <w:szCs w:val="21"/>
              </w:rPr>
              <w:t>Poster/Presentation可作为成果或申请材料展示能力</w:t>
            </w:r>
          </w:p>
        </w:tc>
      </w:tr>
      <w:tr w14:paraId="38F79B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 w14:paraId="28A13EFD">
            <w:pPr>
              <w:adjustRightInd w:val="0"/>
              <w:snapToGrid w:val="0"/>
              <w:jc w:val="left"/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  <w:t>项目完成感 &amp; 成果展示</w:t>
            </w:r>
          </w:p>
        </w:tc>
        <w:tc>
          <w:tcPr>
            <w:tcW w:w="5182" w:type="dxa"/>
            <w:vAlign w:val="center"/>
          </w:tcPr>
          <w:p w14:paraId="4CFA4A0C">
            <w:pPr>
              <w:adjustRightInd w:val="0"/>
              <w:snapToGrid w:val="0"/>
              <w:jc w:val="left"/>
              <w:rPr>
                <w:rFonts w:hint="eastAsia" w:cs="Arial" w:eastAsiaTheme="minorHAnsi"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color w:val="000000"/>
                <w:kern w:val="24"/>
                <w:szCs w:val="21"/>
              </w:rPr>
              <w:t>可以有具体产出（proposal、poster、presentation）带回，增强成就感</w:t>
            </w:r>
          </w:p>
        </w:tc>
      </w:tr>
      <w:tr w14:paraId="5EDA2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 w14:paraId="0E24DC31">
            <w:pPr>
              <w:adjustRightInd w:val="0"/>
              <w:snapToGrid w:val="0"/>
              <w:jc w:val="left"/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  <w:t>巴塞罗那国际体验</w:t>
            </w:r>
          </w:p>
        </w:tc>
        <w:tc>
          <w:tcPr>
            <w:tcW w:w="5182" w:type="dxa"/>
            <w:vAlign w:val="center"/>
          </w:tcPr>
          <w:p w14:paraId="371FED29">
            <w:pPr>
              <w:adjustRightInd w:val="0"/>
              <w:snapToGrid w:val="0"/>
              <w:jc w:val="left"/>
              <w:rPr>
                <w:rFonts w:hint="eastAsia" w:cs="Arial" w:eastAsiaTheme="minorHAnsi"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color w:val="000000"/>
                <w:kern w:val="24"/>
                <w:szCs w:val="21"/>
              </w:rPr>
              <w:t>结合文化和学术考察，体验国际环境，增加生活体验感和学习动力</w:t>
            </w:r>
          </w:p>
        </w:tc>
      </w:tr>
      <w:tr w14:paraId="33792D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114" w:type="dxa"/>
            <w:vAlign w:val="center"/>
          </w:tcPr>
          <w:p w14:paraId="71544761">
            <w:pPr>
              <w:adjustRightInd w:val="0"/>
              <w:snapToGrid w:val="0"/>
              <w:jc w:val="left"/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b/>
                <w:bCs/>
                <w:color w:val="000000"/>
                <w:kern w:val="24"/>
                <w:szCs w:val="21"/>
              </w:rPr>
              <w:t>市场认知价值</w:t>
            </w:r>
          </w:p>
        </w:tc>
        <w:tc>
          <w:tcPr>
            <w:tcW w:w="5182" w:type="dxa"/>
            <w:vAlign w:val="center"/>
          </w:tcPr>
          <w:p w14:paraId="49433C9D">
            <w:pPr>
              <w:adjustRightInd w:val="0"/>
              <w:snapToGrid w:val="0"/>
              <w:jc w:val="left"/>
              <w:rPr>
                <w:rFonts w:hint="eastAsia" w:cs="Arial" w:eastAsiaTheme="minorHAnsi"/>
                <w:color w:val="000000"/>
                <w:kern w:val="24"/>
                <w:szCs w:val="21"/>
              </w:rPr>
            </w:pPr>
            <w:r>
              <w:rPr>
                <w:rFonts w:hint="eastAsia" w:cs="Arial" w:eastAsiaTheme="minorHAnsi"/>
                <w:color w:val="000000"/>
                <w:kern w:val="24"/>
                <w:szCs w:val="21"/>
              </w:rPr>
              <w:t>对未来硕士申请、奖学金申请或职业发展都有背书价值</w:t>
            </w:r>
          </w:p>
        </w:tc>
      </w:tr>
    </w:tbl>
    <w:p w14:paraId="116BAE95">
      <w:pPr>
        <w:rPr>
          <w:rFonts w:hint="eastAsia"/>
        </w:rPr>
      </w:pPr>
    </w:p>
    <w:p w14:paraId="3D5FCCDB">
      <w:pPr>
        <w:ind w:firstLine="420"/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4A175CC"/>
    <w:multiLevelType w:val="multilevel"/>
    <w:tmpl w:val="54A175CC"/>
    <w:lvl w:ilvl="0" w:tentative="0">
      <w:start w:val="1"/>
      <w:numFmt w:val="bullet"/>
      <w:lvlText w:val=""/>
      <w:lvlJc w:val="left"/>
      <w:pPr>
        <w:ind w:left="420" w:hanging="420"/>
      </w:pPr>
      <w:rPr>
        <w:rFonts w:hint="default" w:ascii="Wingdings" w:hAnsi="Wingdings"/>
      </w:rPr>
    </w:lvl>
    <w:lvl w:ilvl="1" w:tentative="0">
      <w:start w:val="1"/>
      <w:numFmt w:val="bullet"/>
      <w:lvlText w:val=""/>
      <w:lvlJc w:val="left"/>
      <w:pPr>
        <w:ind w:left="840" w:hanging="420"/>
      </w:pPr>
      <w:rPr>
        <w:rFonts w:hint="default" w:ascii="Wingdings" w:hAnsi="Wingdings"/>
      </w:rPr>
    </w:lvl>
    <w:lvl w:ilvl="2" w:tentative="0">
      <w:start w:val="1"/>
      <w:numFmt w:val="bullet"/>
      <w:lvlText w:val=""/>
      <w:lvlJc w:val="left"/>
      <w:pPr>
        <w:ind w:left="1260" w:hanging="420"/>
      </w:pPr>
      <w:rPr>
        <w:rFonts w:hint="default" w:ascii="Wingdings" w:hAnsi="Wingdings"/>
      </w:rPr>
    </w:lvl>
    <w:lvl w:ilvl="3" w:tentative="0">
      <w:start w:val="1"/>
      <w:numFmt w:val="bullet"/>
      <w:lvlText w:val=""/>
      <w:lvlJc w:val="left"/>
      <w:pPr>
        <w:ind w:left="1680" w:hanging="420"/>
      </w:pPr>
      <w:rPr>
        <w:rFonts w:hint="default" w:ascii="Wingdings" w:hAnsi="Wingdings"/>
      </w:rPr>
    </w:lvl>
    <w:lvl w:ilvl="4" w:tentative="0">
      <w:start w:val="1"/>
      <w:numFmt w:val="bullet"/>
      <w:lvlText w:val=""/>
      <w:lvlJc w:val="left"/>
      <w:pPr>
        <w:ind w:left="2100" w:hanging="420"/>
      </w:pPr>
      <w:rPr>
        <w:rFonts w:hint="default" w:ascii="Wingdings" w:hAnsi="Wingdings"/>
      </w:rPr>
    </w:lvl>
    <w:lvl w:ilvl="5" w:tentative="0">
      <w:start w:val="1"/>
      <w:numFmt w:val="bullet"/>
      <w:lvlText w:val=""/>
      <w:lvlJc w:val="left"/>
      <w:pPr>
        <w:ind w:left="2520" w:hanging="420"/>
      </w:pPr>
      <w:rPr>
        <w:rFonts w:hint="default" w:ascii="Wingdings" w:hAnsi="Wingdings"/>
      </w:rPr>
    </w:lvl>
    <w:lvl w:ilvl="6" w:tentative="0">
      <w:start w:val="1"/>
      <w:numFmt w:val="bullet"/>
      <w:lvlText w:val=""/>
      <w:lvlJc w:val="left"/>
      <w:pPr>
        <w:ind w:left="2940" w:hanging="420"/>
      </w:pPr>
      <w:rPr>
        <w:rFonts w:hint="default" w:ascii="Wingdings" w:hAnsi="Wingdings"/>
      </w:rPr>
    </w:lvl>
    <w:lvl w:ilvl="7" w:tentative="0">
      <w:start w:val="1"/>
      <w:numFmt w:val="bullet"/>
      <w:lvlText w:val=""/>
      <w:lvlJc w:val="left"/>
      <w:pPr>
        <w:ind w:left="3360" w:hanging="420"/>
      </w:pPr>
      <w:rPr>
        <w:rFonts w:hint="default" w:ascii="Wingdings" w:hAnsi="Wingdings"/>
      </w:rPr>
    </w:lvl>
    <w:lvl w:ilvl="8" w:tentative="0">
      <w:start w:val="1"/>
      <w:numFmt w:val="bullet"/>
      <w:lvlText w:val=""/>
      <w:lvlJc w:val="left"/>
      <w:pPr>
        <w:ind w:left="3780" w:hanging="420"/>
      </w:pPr>
      <w:rPr>
        <w:rFonts w:hint="default" w:ascii="Wingdings" w:hAnsi="Wingdings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61F5"/>
    <w:rsid w:val="000337C9"/>
    <w:rsid w:val="0007035A"/>
    <w:rsid w:val="000F173B"/>
    <w:rsid w:val="001148BE"/>
    <w:rsid w:val="00134788"/>
    <w:rsid w:val="00161DD9"/>
    <w:rsid w:val="001938EE"/>
    <w:rsid w:val="00227D9A"/>
    <w:rsid w:val="00295099"/>
    <w:rsid w:val="00297850"/>
    <w:rsid w:val="002F4391"/>
    <w:rsid w:val="003470EC"/>
    <w:rsid w:val="00360286"/>
    <w:rsid w:val="003A2F7A"/>
    <w:rsid w:val="00412983"/>
    <w:rsid w:val="00426CF6"/>
    <w:rsid w:val="00437A15"/>
    <w:rsid w:val="00440219"/>
    <w:rsid w:val="00495284"/>
    <w:rsid w:val="00532A5E"/>
    <w:rsid w:val="00541515"/>
    <w:rsid w:val="00545D0C"/>
    <w:rsid w:val="00586661"/>
    <w:rsid w:val="005A4D70"/>
    <w:rsid w:val="005D61F5"/>
    <w:rsid w:val="00607724"/>
    <w:rsid w:val="006177ED"/>
    <w:rsid w:val="00620389"/>
    <w:rsid w:val="006C7C40"/>
    <w:rsid w:val="006F19D5"/>
    <w:rsid w:val="007150DC"/>
    <w:rsid w:val="0074199B"/>
    <w:rsid w:val="007A2DC6"/>
    <w:rsid w:val="008245E7"/>
    <w:rsid w:val="00835563"/>
    <w:rsid w:val="008916EA"/>
    <w:rsid w:val="008F1450"/>
    <w:rsid w:val="00900562"/>
    <w:rsid w:val="00912C62"/>
    <w:rsid w:val="009169C8"/>
    <w:rsid w:val="00926927"/>
    <w:rsid w:val="00942C85"/>
    <w:rsid w:val="009503F7"/>
    <w:rsid w:val="00952E1A"/>
    <w:rsid w:val="00974382"/>
    <w:rsid w:val="009B6289"/>
    <w:rsid w:val="009E213D"/>
    <w:rsid w:val="009F1054"/>
    <w:rsid w:val="00A039C9"/>
    <w:rsid w:val="00A15FA5"/>
    <w:rsid w:val="00A31243"/>
    <w:rsid w:val="00A534A9"/>
    <w:rsid w:val="00B116BE"/>
    <w:rsid w:val="00B4616E"/>
    <w:rsid w:val="00B85F85"/>
    <w:rsid w:val="00B90144"/>
    <w:rsid w:val="00C02850"/>
    <w:rsid w:val="00C15AC7"/>
    <w:rsid w:val="00CC0E8A"/>
    <w:rsid w:val="00CE570B"/>
    <w:rsid w:val="00D12A96"/>
    <w:rsid w:val="00D139F7"/>
    <w:rsid w:val="00D1540C"/>
    <w:rsid w:val="00D154D7"/>
    <w:rsid w:val="00D574CE"/>
    <w:rsid w:val="00DA12B4"/>
    <w:rsid w:val="00DD4582"/>
    <w:rsid w:val="00DF2E1A"/>
    <w:rsid w:val="00DF3FC3"/>
    <w:rsid w:val="00E74AC5"/>
    <w:rsid w:val="00EF11E7"/>
    <w:rsid w:val="00EF2F6D"/>
    <w:rsid w:val="00EF73EE"/>
    <w:rsid w:val="00F02BD3"/>
    <w:rsid w:val="00F23323"/>
    <w:rsid w:val="00F33158"/>
    <w:rsid w:val="00F4132E"/>
    <w:rsid w:val="00F44BD9"/>
    <w:rsid w:val="00F81ED3"/>
    <w:rsid w:val="00F84D99"/>
    <w:rsid w:val="45664734"/>
    <w:rsid w:val="55681E16"/>
    <w:rsid w:val="769853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9"/>
    <w:qFormat/>
    <w:uiPriority w:val="1"/>
    <w:pPr>
      <w:autoSpaceDE w:val="0"/>
      <w:autoSpaceDN w:val="0"/>
      <w:jc w:val="left"/>
    </w:pPr>
    <w:rPr>
      <w:rFonts w:ascii="微软雅黑" w:hAnsi="微软雅黑" w:eastAsia="微软雅黑" w:cs="微软雅黑"/>
      <w:kern w:val="0"/>
      <w:sz w:val="22"/>
      <w:lang w:eastAsia="en-US"/>
    </w:r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rPr>
      <w:rFonts w:ascii="Times New Roman" w:hAnsi="Times New Roman" w:cs="Times New Roman"/>
      <w:sz w:val="24"/>
      <w:szCs w:val="24"/>
    </w:rPr>
  </w:style>
  <w:style w:type="table" w:styleId="7">
    <w:name w:val="Table Grid"/>
    <w:basedOn w:val="6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9">
    <w:name w:val="正文文本 字符"/>
    <w:basedOn w:val="8"/>
    <w:link w:val="2"/>
    <w:qFormat/>
    <w:uiPriority w:val="1"/>
    <w:rPr>
      <w:rFonts w:ascii="微软雅黑" w:hAnsi="微软雅黑" w:eastAsia="微软雅黑" w:cs="微软雅黑"/>
      <w:kern w:val="0"/>
      <w:sz w:val="22"/>
      <w:lang w:eastAsia="en-US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页眉 字符"/>
    <w:basedOn w:val="8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8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1198</Words>
  <Characters>1441</Characters>
  <Lines>62</Lines>
  <Paragraphs>76</Paragraphs>
  <TotalTime>162</TotalTime>
  <ScaleCrop>false</ScaleCrop>
  <LinksUpToDate>false</LinksUpToDate>
  <CharactersWithSpaces>1476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2023-02-17T08:38:00Z</dcterms:created>
  <dc:creator>许 竞</dc:creator>
  <cp:lastModifiedBy>李晓忆</cp:lastModifiedBy>
  <dcterms:modified xsi:type="dcterms:W3CDTF">2026-03-20T03:17:22Z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eyJoZGlkIjoiYjhlZWI4ZmM0NjhkZjY5ZmUzNjNlNTA1YmNjMTAyMjIiLCJ1c2VySWQiOiIxNTk4ODE2NTUwIn0=</vt:lpwstr>
  </property>
  <property fmtid="{D5CDD505-2E9C-101B-9397-08002B2CF9AE}" pid="3" name="KSOProductBuildVer">
    <vt:lpwstr>2052-12.1.0.25225</vt:lpwstr>
  </property>
  <property fmtid="{D5CDD505-2E9C-101B-9397-08002B2CF9AE}" pid="4" name="ICV">
    <vt:lpwstr>7D5CE97F85CE4D0CA50F2313490AE8BA_13</vt:lpwstr>
  </property>
</Properties>
</file>