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13668">
      <w:pPr>
        <w:spacing w:line="288" w:lineRule="auto"/>
        <w:jc w:val="center"/>
        <w:rPr>
          <w:rFonts w:hint="default" w:ascii="黑体" w:hAnsi="黑体" w:eastAsia="黑体"/>
          <w:b/>
          <w:color w:val="990000"/>
          <w:sz w:val="32"/>
          <w:szCs w:val="32"/>
          <w:lang w:val="en-US" w:eastAsia="zh-Hans"/>
        </w:rPr>
      </w:pPr>
      <w:r>
        <w:rPr>
          <w:rFonts w:hint="eastAsia" w:ascii="黑体" w:hAnsi="黑体" w:eastAsia="黑体"/>
          <w:b/>
          <w:color w:val="990000"/>
          <w:sz w:val="32"/>
          <w:szCs w:val="32"/>
          <w:lang w:eastAsia="zh-CN"/>
        </w:rPr>
        <w:t>新西兰坎特伯雷大学</w:t>
      </w:r>
      <w:r>
        <w:rPr>
          <w:rFonts w:hint="default" w:ascii="黑体" w:hAnsi="黑体" w:eastAsia="黑体"/>
          <w:b/>
          <w:color w:val="990000"/>
          <w:sz w:val="32"/>
          <w:szCs w:val="32"/>
          <w:lang w:eastAsia="zh-CN"/>
        </w:rPr>
        <w:t>1</w:t>
      </w:r>
      <w:r>
        <w:rPr>
          <w:rFonts w:hint="eastAsia" w:ascii="黑体" w:hAnsi="黑体" w:eastAsia="黑体"/>
          <w:b/>
          <w:color w:val="990000"/>
          <w:sz w:val="32"/>
          <w:szCs w:val="32"/>
          <w:lang w:eastAsia="zh-CN"/>
        </w:rPr>
        <w:t>+1+1</w:t>
      </w:r>
      <w:r>
        <w:rPr>
          <w:rFonts w:hint="eastAsia" w:ascii="黑体" w:hAnsi="黑体" w:eastAsia="黑体"/>
          <w:b/>
          <w:color w:val="990000"/>
          <w:sz w:val="32"/>
          <w:szCs w:val="32"/>
          <w:lang w:val="en-US" w:eastAsia="zh-Hans"/>
        </w:rPr>
        <w:t>双硕士学位</w:t>
      </w:r>
      <w:r>
        <w:rPr>
          <w:rFonts w:hint="eastAsia" w:ascii="黑体" w:hAnsi="黑体" w:eastAsia="黑体"/>
          <w:b/>
          <w:color w:val="990000"/>
          <w:sz w:val="32"/>
          <w:szCs w:val="32"/>
          <w:lang w:eastAsia="zh-CN"/>
        </w:rPr>
        <w:t>项目</w:t>
      </w:r>
    </w:p>
    <w:p w14:paraId="735A69BD">
      <w:pPr>
        <w:pStyle w:val="13"/>
        <w:spacing w:before="1" w:line="360" w:lineRule="auto"/>
        <w:ind w:right="59"/>
        <w:rPr>
          <w:rFonts w:hint="eastAsia" w:ascii="仿宋" w:hAnsi="仿宋" w:eastAsia="仿宋"/>
          <w:b/>
          <w:sz w:val="24"/>
          <w:lang w:eastAsia="zh-CN"/>
        </w:rPr>
      </w:pPr>
    </w:p>
    <w:p w14:paraId="02DB4DB8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eastAsia="zh-CN"/>
        </w:rPr>
        <w:t>一、</w:t>
      </w:r>
      <w:r>
        <w:rPr>
          <w:rFonts w:ascii="仿宋" w:hAnsi="仿宋" w:eastAsia="仿宋"/>
          <w:b/>
          <w:sz w:val="24"/>
          <w:lang w:eastAsia="zh-CN"/>
        </w:rPr>
        <w:t>项目</w:t>
      </w:r>
      <w:r>
        <w:rPr>
          <w:rFonts w:hint="eastAsia" w:ascii="仿宋" w:hAnsi="仿宋" w:eastAsia="仿宋"/>
          <w:b/>
          <w:sz w:val="24"/>
          <w:lang w:eastAsia="zh-CN"/>
        </w:rPr>
        <w:t>概述</w:t>
      </w:r>
    </w:p>
    <w:p w14:paraId="213C5B55">
      <w:pPr>
        <w:pStyle w:val="13"/>
        <w:spacing w:before="1" w:line="360" w:lineRule="auto"/>
        <w:ind w:right="59" w:firstLine="480" w:firstLineChars="20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学生在完成国内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硕士研究生第一年课程并</w:t>
      </w:r>
      <w:r>
        <w:rPr>
          <w:rFonts w:hint="eastAsia" w:ascii="仿宋" w:hAnsi="仿宋" w:eastAsia="仿宋"/>
          <w:sz w:val="24"/>
          <w:szCs w:val="24"/>
          <w:lang w:eastAsia="zh-CN"/>
        </w:rPr>
        <w:t>满足项目申请条件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后</w:t>
      </w:r>
      <w:r>
        <w:rPr>
          <w:rFonts w:hint="eastAsia" w:ascii="仿宋" w:hAnsi="仿宋" w:eastAsia="仿宋"/>
          <w:sz w:val="24"/>
          <w:szCs w:val="24"/>
          <w:lang w:eastAsia="zh-CN"/>
        </w:rPr>
        <w:t>，可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于第二年赴新西兰坎特伯雷大学（简称坎大）就读并完成一学年的硕士学位课程，结束后返回国内大学继续完成硕士学位。通过本项目的学习，学生可获得中新两个硕士学位，均可获得中国教育部的认证。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拟可对接专业包括教育类、商科类、工程类、理科类。</w:t>
      </w:r>
    </w:p>
    <w:p w14:paraId="22A4BEFB">
      <w:pPr>
        <w:tabs>
          <w:tab w:val="left" w:pos="2160"/>
        </w:tabs>
        <w:spacing w:line="360" w:lineRule="auto"/>
        <w:rPr>
          <w:rFonts w:hint="default" w:ascii="仿宋" w:hAnsi="仿宋" w:eastAsia="仿宋"/>
          <w:b/>
          <w:sz w:val="24"/>
          <w:lang w:eastAsia="zh-Hans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二</w:t>
      </w:r>
      <w:r>
        <w:rPr>
          <w:rFonts w:hint="eastAsia" w:ascii="仿宋" w:hAnsi="仿宋" w:eastAsia="仿宋"/>
          <w:b/>
          <w:sz w:val="24"/>
          <w:lang w:val="en-US" w:eastAsia="zh-Hans"/>
        </w:rPr>
        <w:t>、时间安排（</w:t>
      </w:r>
      <w:r>
        <w:rPr>
          <w:rFonts w:hint="default" w:ascii="仿宋" w:hAnsi="仿宋" w:eastAsia="仿宋"/>
          <w:b/>
          <w:sz w:val="24"/>
          <w:lang w:eastAsia="zh-Hans"/>
        </w:rPr>
        <w:t>1+1+1</w:t>
      </w:r>
      <w:r>
        <w:rPr>
          <w:rFonts w:hint="eastAsia" w:ascii="仿宋" w:hAnsi="仿宋" w:eastAsia="仿宋"/>
          <w:b/>
          <w:sz w:val="24"/>
          <w:lang w:val="en-US" w:eastAsia="zh-Hans"/>
        </w:rPr>
        <w:t>模型</w:t>
      </w:r>
      <w:r>
        <w:rPr>
          <w:rFonts w:hint="eastAsia" w:ascii="仿宋" w:hAnsi="仿宋" w:eastAsia="仿宋"/>
          <w:b/>
          <w:sz w:val="24"/>
          <w:lang w:val="en-US" w:eastAsia="zh-CN"/>
        </w:rPr>
        <w:t>为例</w:t>
      </w:r>
      <w:r>
        <w:rPr>
          <w:rFonts w:hint="eastAsia" w:ascii="仿宋" w:hAnsi="仿宋" w:eastAsia="仿宋"/>
          <w:b/>
          <w:sz w:val="24"/>
          <w:lang w:eastAsia="zh-Hans"/>
        </w:rPr>
        <w:t>）</w:t>
      </w:r>
    </w:p>
    <w:p w14:paraId="1F413749">
      <w:pPr>
        <w:pStyle w:val="13"/>
        <w:numPr>
          <w:ilvl w:val="0"/>
          <w:numId w:val="1"/>
        </w:numPr>
        <w:spacing w:before="1" w:line="360" w:lineRule="auto"/>
        <w:ind w:left="425" w:leftChars="0" w:right="59" w:hanging="425" w:firstLineChars="0"/>
        <w:rPr>
          <w:rFonts w:hint="default" w:ascii="仿宋" w:hAnsi="仿宋" w:eastAsia="仿宋"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九月至次年六月，在国内大学进行第一年的硕士研究生学习</w:t>
      </w:r>
    </w:p>
    <w:p w14:paraId="5292A0F8">
      <w:pPr>
        <w:pStyle w:val="13"/>
        <w:numPr>
          <w:ilvl w:val="0"/>
          <w:numId w:val="1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七月至次年六月，在坎大完成相关硕士项目学习</w:t>
      </w:r>
    </w:p>
    <w:p w14:paraId="4E687B92">
      <w:pPr>
        <w:pStyle w:val="13"/>
        <w:numPr>
          <w:ilvl w:val="0"/>
          <w:numId w:val="1"/>
        </w:numPr>
        <w:spacing w:before="1" w:line="360" w:lineRule="auto"/>
        <w:ind w:left="425" w:leftChars="0" w:right="59" w:hanging="425" w:firstLineChars="0"/>
        <w:rPr>
          <w:rFonts w:hint="eastAsia" w:ascii="仿宋" w:hAnsi="仿宋" w:eastAsia="仿宋"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结束坎大硕士项目学习后，返回国内大学完成其剩余硕士学位课程</w:t>
      </w:r>
    </w:p>
    <w:p w14:paraId="4BD44E97">
      <w:pPr>
        <w:pStyle w:val="13"/>
        <w:numPr>
          <w:ilvl w:val="0"/>
          <w:numId w:val="0"/>
        </w:numPr>
        <w:spacing w:before="1" w:line="360" w:lineRule="auto"/>
        <w:ind w:leftChars="0" w:right="59" w:rightChars="0"/>
        <w:rPr>
          <w:rFonts w:hint="default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※也可以考虑0.5+1+1.5等其他模型，具体将根据中新双方院校沟通确认</w:t>
      </w:r>
    </w:p>
    <w:p w14:paraId="07D4B2A4">
      <w:pPr>
        <w:numPr>
          <w:ilvl w:val="0"/>
          <w:numId w:val="2"/>
        </w:numPr>
        <w:tabs>
          <w:tab w:val="left" w:pos="2160"/>
        </w:tabs>
        <w:spacing w:line="360" w:lineRule="auto"/>
        <w:rPr>
          <w:rFonts w:hint="eastAsia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可选硕士学位（持续拓展）</w:t>
      </w:r>
    </w:p>
    <w:p w14:paraId="050F47C0">
      <w:pPr>
        <w:pStyle w:val="13"/>
        <w:numPr>
          <w:ilvl w:val="0"/>
          <w:numId w:val="0"/>
        </w:numPr>
        <w:spacing w:before="1" w:line="360" w:lineRule="auto"/>
        <w:ind w:leftChars="0" w:right="59" w:rightChars="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商科类：商务信息系统硕士、职业会计硕士、商务管理硕士、市场营销硕士、金融分析硕士、应用金融与经济、金融工程</w:t>
      </w:r>
    </w:p>
    <w:p w14:paraId="2F62AF87">
      <w:pPr>
        <w:pStyle w:val="13"/>
        <w:numPr>
          <w:ilvl w:val="0"/>
          <w:numId w:val="0"/>
        </w:numPr>
        <w:spacing w:before="1" w:line="360" w:lineRule="auto"/>
        <w:ind w:leftChars="0" w:right="59" w:rightChars="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文科/教育类：国际关系与外交学硕士、</w:t>
      </w:r>
      <w:r>
        <w:rPr>
          <w:rFonts w:hint="eastAsia" w:ascii="仿宋" w:hAnsi="仿宋" w:eastAsia="仿宋"/>
          <w:sz w:val="24"/>
          <w:szCs w:val="24"/>
          <w:highlight w:val="none"/>
          <w:lang w:val="en-US" w:eastAsia="zh-CN"/>
        </w:rPr>
        <w:t>策略传媒硕士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、TESOL对外英语教学硕士、教育学硕士</w:t>
      </w:r>
    </w:p>
    <w:p w14:paraId="0A9BB64B">
      <w:pPr>
        <w:pStyle w:val="13"/>
        <w:numPr>
          <w:ilvl w:val="0"/>
          <w:numId w:val="0"/>
        </w:numPr>
        <w:spacing w:before="1" w:line="360" w:lineRule="auto"/>
        <w:ind w:leftChars="0" w:right="59" w:rightChars="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理科类：应用数据科学硕士、人工智能硕士、专业计算机科学硕士、城市恢复及重建硕士、灾害风险及抗险硕士、地理空间数据科学硕士、水资源科学与管理学硕士</w:t>
      </w:r>
    </w:p>
    <w:p w14:paraId="7E0BA48F">
      <w:pPr>
        <w:pStyle w:val="13"/>
        <w:numPr>
          <w:ilvl w:val="0"/>
          <w:numId w:val="0"/>
        </w:numPr>
        <w:spacing w:before="1" w:line="360" w:lineRule="auto"/>
        <w:ind w:leftChars="0" w:right="59" w:rightChars="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工程类：工程学硕士、土木工程硕士、产品创新硕士</w:t>
      </w:r>
    </w:p>
    <w:p w14:paraId="7685A9CA">
      <w:pPr>
        <w:tabs>
          <w:tab w:val="left" w:pos="2160"/>
        </w:tabs>
        <w:spacing w:line="360" w:lineRule="auto"/>
        <w:rPr>
          <w:rFonts w:hint="default" w:ascii="仿宋" w:hAnsi="仿宋" w:eastAsia="仿宋"/>
          <w:b/>
          <w:sz w:val="24"/>
          <w:lang w:val="en-US" w:eastAsia="zh-Hans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四、</w:t>
      </w:r>
      <w:r>
        <w:rPr>
          <w:rFonts w:hint="eastAsia" w:ascii="仿宋" w:hAnsi="仿宋" w:eastAsia="仿宋"/>
          <w:b/>
          <w:sz w:val="24"/>
          <w:lang w:val="en-US" w:eastAsia="zh-Hans"/>
        </w:rPr>
        <w:t>项目优势</w:t>
      </w:r>
    </w:p>
    <w:p w14:paraId="7923FE8F">
      <w:pPr>
        <w:numPr>
          <w:ilvl w:val="0"/>
          <w:numId w:val="3"/>
        </w:numPr>
        <w:tabs>
          <w:tab w:val="left" w:pos="2160"/>
        </w:tabs>
        <w:spacing w:line="360" w:lineRule="auto"/>
        <w:ind w:left="425" w:leftChars="0" w:hanging="425" w:firstLineChars="0"/>
        <w:rPr>
          <w:rFonts w:hint="default" w:ascii="仿宋" w:hAnsi="仿宋" w:eastAsia="仿宋"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可免雅思，通过坎大</w:t>
      </w:r>
      <w:r>
        <w:rPr>
          <w:rFonts w:hint="default" w:ascii="仿宋" w:hAnsi="仿宋" w:eastAsia="仿宋"/>
          <w:sz w:val="24"/>
          <w:szCs w:val="24"/>
          <w:lang w:eastAsia="zh-Hans"/>
        </w:rPr>
        <w:t>EAP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学术英语直升</w:t>
      </w:r>
    </w:p>
    <w:p w14:paraId="3C3091EB">
      <w:pPr>
        <w:numPr>
          <w:ilvl w:val="0"/>
          <w:numId w:val="3"/>
        </w:numPr>
        <w:tabs>
          <w:tab w:val="left" w:pos="2160"/>
        </w:tabs>
        <w:spacing w:line="360" w:lineRule="auto"/>
        <w:ind w:left="425" w:leftChars="0" w:hanging="425" w:firstLineChars="0"/>
        <w:rPr>
          <w:rFonts w:hint="default" w:ascii="仿宋" w:hAnsi="仿宋" w:eastAsia="仿宋"/>
          <w:sz w:val="24"/>
          <w:szCs w:val="24"/>
          <w:lang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学分互认，坎大硕士总学费最多可减免</w:t>
      </w:r>
      <w:r>
        <w:rPr>
          <w:rFonts w:hint="default" w:ascii="仿宋" w:hAnsi="仿宋" w:eastAsia="仿宋"/>
          <w:sz w:val="24"/>
          <w:szCs w:val="24"/>
          <w:lang w:eastAsia="zh-Hans"/>
        </w:rPr>
        <w:t>1/3</w:t>
      </w:r>
    </w:p>
    <w:p w14:paraId="22323346">
      <w:pPr>
        <w:numPr>
          <w:ilvl w:val="0"/>
          <w:numId w:val="3"/>
        </w:numPr>
        <w:tabs>
          <w:tab w:val="left" w:pos="2160"/>
        </w:tabs>
        <w:spacing w:line="360" w:lineRule="auto"/>
        <w:ind w:left="425" w:leftChars="0" w:hanging="425" w:firstLineChars="0"/>
        <w:rPr>
          <w:rFonts w:hint="eastAsia" w:ascii="仿宋" w:hAnsi="仿宋" w:eastAsia="仿宋"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sz w:val="24"/>
          <w:szCs w:val="24"/>
          <w:lang w:val="en-US" w:eastAsia="zh-Hans"/>
        </w:rPr>
        <w:t>三年获中新双硕士学位，中国教育部认证</w:t>
      </w:r>
    </w:p>
    <w:p w14:paraId="1BEF8AC2">
      <w:pPr>
        <w:numPr>
          <w:ilvl w:val="0"/>
          <w:numId w:val="3"/>
        </w:numPr>
        <w:tabs>
          <w:tab w:val="left" w:pos="2160"/>
        </w:tabs>
        <w:spacing w:line="360" w:lineRule="auto"/>
        <w:ind w:left="425" w:leftChars="0" w:hanging="425" w:firstLineChars="0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default" w:ascii="仿宋" w:hAnsi="仿宋" w:eastAsia="仿宋"/>
          <w:sz w:val="24"/>
          <w:szCs w:val="24"/>
          <w:lang w:eastAsia="zh-Hans"/>
        </w:rPr>
        <w:t>100%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新西兰三年工作签证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（当前移民局政策）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，多次往返，助力国内外高质量就业</w:t>
      </w:r>
    </w:p>
    <w:p w14:paraId="0282C990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五、</w:t>
      </w:r>
      <w:r>
        <w:rPr>
          <w:rFonts w:hint="eastAsia" w:ascii="仿宋" w:hAnsi="仿宋" w:eastAsia="仿宋"/>
          <w:b/>
          <w:sz w:val="24"/>
          <w:lang w:eastAsia="zh-CN"/>
        </w:rPr>
        <w:t>申请条件</w:t>
      </w:r>
    </w:p>
    <w:p w14:paraId="68F1296D">
      <w:pPr>
        <w:pStyle w:val="13"/>
        <w:spacing w:before="1" w:line="360" w:lineRule="auto"/>
        <w:ind w:right="59"/>
        <w:rPr>
          <w:rFonts w:hint="default" w:ascii="仿宋" w:hAnsi="仿宋" w:eastAsia="仿宋"/>
          <w:sz w:val="24"/>
          <w:szCs w:val="24"/>
          <w:lang w:eastAsia="zh-Hans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1.</w:t>
      </w:r>
      <w:r>
        <w:rPr>
          <w:rFonts w:ascii="仿宋" w:hAnsi="仿宋" w:eastAsia="仿宋"/>
          <w:sz w:val="24"/>
          <w:szCs w:val="24"/>
          <w:lang w:eastAsia="zh-CN"/>
        </w:rPr>
        <w:t xml:space="preserve"> </w:t>
      </w:r>
      <w:r>
        <w:rPr>
          <w:rFonts w:hint="eastAsia" w:ascii="仿宋" w:hAnsi="仿宋" w:eastAsia="仿宋"/>
          <w:sz w:val="24"/>
          <w:szCs w:val="24"/>
          <w:lang w:eastAsia="zh-CN"/>
        </w:rPr>
        <w:t>学术要求：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国内硕士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已有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课程均分</w:t>
      </w:r>
      <w:r>
        <w:rPr>
          <w:rFonts w:hint="default" w:ascii="仿宋" w:hAnsi="仿宋" w:eastAsia="仿宋"/>
          <w:sz w:val="24"/>
          <w:szCs w:val="24"/>
          <w:lang w:eastAsia="zh-Hans"/>
        </w:rPr>
        <w:t>70</w:t>
      </w:r>
    </w:p>
    <w:p w14:paraId="4016144D">
      <w:pPr>
        <w:pStyle w:val="13"/>
        <w:spacing w:before="1" w:line="360" w:lineRule="auto"/>
        <w:ind w:right="59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2.</w:t>
      </w:r>
      <w:r>
        <w:rPr>
          <w:rFonts w:ascii="仿宋" w:hAnsi="仿宋" w:eastAsia="仿宋"/>
          <w:sz w:val="24"/>
          <w:szCs w:val="24"/>
          <w:lang w:eastAsia="zh-CN"/>
        </w:rPr>
        <w:t xml:space="preserve"> </w:t>
      </w:r>
      <w:r>
        <w:rPr>
          <w:rFonts w:hint="eastAsia" w:ascii="仿宋" w:hAnsi="仿宋" w:eastAsia="仿宋"/>
          <w:sz w:val="24"/>
          <w:szCs w:val="24"/>
          <w:lang w:eastAsia="zh-CN"/>
        </w:rPr>
        <w:t>英语要求：雅思6.</w:t>
      </w:r>
      <w:r>
        <w:rPr>
          <w:rFonts w:hint="default" w:ascii="仿宋" w:hAnsi="仿宋" w:eastAsia="仿宋"/>
          <w:sz w:val="24"/>
          <w:szCs w:val="24"/>
          <w:lang w:eastAsia="zh-CN"/>
        </w:rPr>
        <w:t>5</w:t>
      </w:r>
      <w:r>
        <w:rPr>
          <w:rFonts w:hint="eastAsia" w:ascii="仿宋" w:hAnsi="仿宋" w:eastAsia="仿宋"/>
          <w:sz w:val="24"/>
          <w:szCs w:val="24"/>
          <w:lang w:eastAsia="zh-CN"/>
        </w:rPr>
        <w:t>（小分</w:t>
      </w:r>
      <w:r>
        <w:rPr>
          <w:rFonts w:hint="default" w:ascii="仿宋" w:hAnsi="仿宋" w:eastAsia="仿宋"/>
          <w:sz w:val="24"/>
          <w:szCs w:val="24"/>
          <w:lang w:eastAsia="zh-CN"/>
        </w:rPr>
        <w:t>6</w:t>
      </w:r>
      <w:r>
        <w:rPr>
          <w:rFonts w:hint="eastAsia" w:ascii="仿宋" w:hAnsi="仿宋" w:eastAsia="仿宋"/>
          <w:sz w:val="24"/>
          <w:szCs w:val="24"/>
          <w:lang w:eastAsia="zh-CN"/>
        </w:rPr>
        <w:t>）/托福</w:t>
      </w:r>
      <w:r>
        <w:rPr>
          <w:rFonts w:hint="default" w:ascii="仿宋" w:hAnsi="仿宋" w:eastAsia="仿宋"/>
          <w:sz w:val="24"/>
          <w:szCs w:val="24"/>
          <w:lang w:eastAsia="zh-CN"/>
        </w:rPr>
        <w:t>90</w:t>
      </w:r>
      <w:r>
        <w:rPr>
          <w:rFonts w:hint="eastAsia" w:ascii="仿宋" w:hAnsi="仿宋" w:eastAsia="仿宋"/>
          <w:sz w:val="24"/>
          <w:szCs w:val="24"/>
          <w:lang w:eastAsia="zh-CN"/>
        </w:rPr>
        <w:t>（听读写19）</w:t>
      </w:r>
      <w:r>
        <w:rPr>
          <w:rFonts w:hint="default" w:ascii="仿宋" w:hAnsi="仿宋" w:eastAsia="仿宋"/>
          <w:sz w:val="24"/>
          <w:szCs w:val="24"/>
          <w:lang w:eastAsia="zh-CN"/>
        </w:rPr>
        <w:t>/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 xml:space="preserve"> Duolingo120 / PTE58（小分50）/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坎大</w:t>
      </w:r>
      <w:r>
        <w:rPr>
          <w:rFonts w:hint="default" w:ascii="仿宋" w:hAnsi="仿宋" w:eastAsia="仿宋"/>
          <w:sz w:val="24"/>
          <w:szCs w:val="24"/>
          <w:lang w:eastAsia="zh-CN"/>
        </w:rPr>
        <w:t>EAP</w:t>
      </w:r>
      <w:r>
        <w:rPr>
          <w:rFonts w:hint="eastAsia" w:ascii="仿宋" w:hAnsi="仿宋" w:eastAsia="仿宋"/>
          <w:sz w:val="24"/>
          <w:szCs w:val="24"/>
          <w:lang w:val="en-US" w:eastAsia="zh-Hans"/>
        </w:rPr>
        <w:t>学术英语直升课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等</w:t>
      </w:r>
    </w:p>
    <w:p w14:paraId="0319095B">
      <w:pPr>
        <w:pStyle w:val="13"/>
        <w:spacing w:before="1" w:line="360" w:lineRule="auto"/>
        <w:ind w:right="59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※部分专业录取要求稍有不同，请咨询项目老师确认</w:t>
      </w:r>
    </w:p>
    <w:p w14:paraId="150281CA">
      <w:pPr>
        <w:tabs>
          <w:tab w:val="left" w:pos="2160"/>
        </w:tabs>
        <w:spacing w:line="360" w:lineRule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六、</w:t>
      </w:r>
      <w:r>
        <w:rPr>
          <w:rFonts w:hint="eastAsia" w:ascii="仿宋" w:hAnsi="仿宋" w:eastAsia="仿宋"/>
          <w:b/>
          <w:sz w:val="24"/>
          <w:lang w:eastAsia="zh-CN"/>
        </w:rPr>
        <w:t>费用信息</w:t>
      </w:r>
    </w:p>
    <w:p w14:paraId="6F69AC53">
      <w:pPr>
        <w:pStyle w:val="13"/>
        <w:spacing w:before="1" w:line="360" w:lineRule="auto"/>
        <w:ind w:right="59"/>
        <w:rPr>
          <w:rFonts w:hint="default" w:ascii="仿宋" w:hAnsi="仿宋" w:eastAsia="仿宋"/>
          <w:bCs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学费：硕士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总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学费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为</w:t>
      </w:r>
      <w:r>
        <w:rPr>
          <w:rFonts w:hint="default" w:ascii="仿宋" w:hAnsi="仿宋" w:eastAsia="仿宋"/>
          <w:bCs/>
          <w:sz w:val="24"/>
          <w:szCs w:val="24"/>
          <w:lang w:eastAsia="zh-CN"/>
        </w:rPr>
        <w:t>5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万纽币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左右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（未算减免）</w:t>
      </w:r>
    </w:p>
    <w:p w14:paraId="2023B689">
      <w:pPr>
        <w:pStyle w:val="13"/>
        <w:spacing w:before="1" w:line="360" w:lineRule="auto"/>
        <w:ind w:right="59"/>
        <w:rPr>
          <w:rFonts w:hint="eastAsia" w:ascii="仿宋" w:hAnsi="仿宋" w:eastAsia="仿宋"/>
          <w:bCs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bCs/>
          <w:sz w:val="24"/>
          <w:szCs w:val="24"/>
          <w:lang w:eastAsia="zh-CN"/>
        </w:rPr>
        <w:t>生活费：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万纽币</w:t>
      </w:r>
      <w:r>
        <w:rPr>
          <w:rFonts w:hint="default" w:ascii="仿宋" w:hAnsi="仿宋" w:eastAsia="仿宋"/>
          <w:bCs/>
          <w:sz w:val="24"/>
          <w:szCs w:val="24"/>
          <w:lang w:eastAsia="zh-Hans"/>
        </w:rPr>
        <w:t>/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年</w:t>
      </w:r>
      <w:r>
        <w:rPr>
          <w:rFonts w:hint="eastAsia" w:ascii="仿宋" w:hAnsi="仿宋" w:eastAsia="仿宋"/>
          <w:bCs/>
          <w:sz w:val="24"/>
          <w:szCs w:val="24"/>
          <w:lang w:eastAsia="zh-CN"/>
        </w:rPr>
        <w:t>（官方预估）</w:t>
      </w:r>
    </w:p>
    <w:p w14:paraId="22DA405A">
      <w:pPr>
        <w:pStyle w:val="13"/>
        <w:spacing w:before="1" w:line="360" w:lineRule="auto"/>
        <w:ind w:right="59"/>
        <w:rPr>
          <w:rFonts w:hint="default" w:ascii="仿宋" w:hAnsi="仿宋" w:eastAsia="仿宋"/>
          <w:bCs/>
          <w:sz w:val="24"/>
          <w:szCs w:val="24"/>
          <w:lang w:val="en-US" w:eastAsia="zh-Hans"/>
        </w:rPr>
      </w:pP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合计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总费用约合人民币</w:t>
      </w:r>
      <w:r>
        <w:rPr>
          <w:rFonts w:hint="eastAsia" w:ascii="仿宋" w:hAnsi="仿宋" w:eastAsia="仿宋"/>
          <w:bCs/>
          <w:sz w:val="24"/>
          <w:szCs w:val="24"/>
          <w:lang w:val="en-US" w:eastAsia="zh-CN"/>
        </w:rPr>
        <w:t>30</w:t>
      </w:r>
      <w:r>
        <w:rPr>
          <w:rFonts w:hint="eastAsia" w:ascii="仿宋" w:hAnsi="仿宋" w:eastAsia="仿宋"/>
          <w:bCs/>
          <w:sz w:val="24"/>
          <w:szCs w:val="24"/>
          <w:lang w:val="en-US" w:eastAsia="zh-Hans"/>
        </w:rPr>
        <w:t>万（未算减免）</w:t>
      </w:r>
    </w:p>
    <w:p w14:paraId="65E9632D">
      <w:pPr>
        <w:pStyle w:val="13"/>
        <w:spacing w:before="1" w:line="360" w:lineRule="auto"/>
        <w:ind w:right="59"/>
        <w:rPr>
          <w:rFonts w:hint="default" w:ascii="仿宋" w:hAnsi="仿宋" w:eastAsia="仿宋"/>
          <w:bCs/>
          <w:sz w:val="24"/>
          <w:szCs w:val="24"/>
          <w:lang w:eastAsia="zh-CN"/>
        </w:rPr>
      </w:pPr>
      <w:bookmarkStart w:id="0" w:name="_GoBack"/>
      <w:bookmarkEnd w:id="0"/>
    </w:p>
    <w:p w14:paraId="1332E9E7">
      <w:pP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</w:pPr>
      <w: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  <w:t>UC 一览</w:t>
      </w:r>
    </w:p>
    <w:p w14:paraId="1B32539F">
      <w:pP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</w:pPr>
    </w:p>
    <w:p w14:paraId="2CF67F35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新西兰八所国立大学之一，</w:t>
      </w:r>
      <w:r>
        <w:rPr>
          <w:rFonts w:hint="eastAsia" w:ascii="仿宋" w:hAnsi="仿宋" w:eastAsia="仿宋" w:cs="Arial"/>
          <w:lang w:val="en-US"/>
        </w:rPr>
        <w:t>1873年牛津</w:t>
      </w:r>
      <w:r>
        <w:rPr>
          <w:rFonts w:ascii="仿宋" w:hAnsi="仿宋" w:eastAsia="仿宋" w:cs="Arial"/>
        </w:rPr>
        <w:t>&amp;</w:t>
      </w:r>
      <w:r>
        <w:rPr>
          <w:rFonts w:hint="eastAsia" w:ascii="仿宋" w:hAnsi="仿宋" w:eastAsia="仿宋" w:cs="Arial"/>
          <w:lang w:val="en-US"/>
        </w:rPr>
        <w:t>剑桥学者建校</w:t>
      </w:r>
    </w:p>
    <w:p w14:paraId="476D6A06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202</w:t>
      </w:r>
      <w:r>
        <w:rPr>
          <w:rFonts w:hint="eastAsia" w:ascii="仿宋" w:hAnsi="仿宋" w:eastAsia="仿宋" w:cs="Arial"/>
          <w:lang w:val="en-US" w:eastAsia="zh-CN"/>
        </w:rPr>
        <w:t>5</w:t>
      </w:r>
      <w:r>
        <w:rPr>
          <w:rFonts w:hint="eastAsia" w:ascii="仿宋" w:hAnsi="仿宋" w:eastAsia="仿宋" w:cs="Arial"/>
          <w:lang w:val="en-US"/>
        </w:rPr>
        <w:t>泰晤士高等教育</w:t>
      </w:r>
      <w:r>
        <w:rPr>
          <w:rFonts w:hint="eastAsia" w:ascii="仿宋" w:hAnsi="仿宋" w:eastAsia="仿宋" w:cs="Arial"/>
          <w:lang w:val="en-US" w:eastAsia="zh-CN"/>
        </w:rPr>
        <w:t>全球</w:t>
      </w:r>
      <w:r>
        <w:rPr>
          <w:rFonts w:hint="eastAsia" w:ascii="仿宋" w:hAnsi="仿宋" w:eastAsia="仿宋" w:cs="Arial"/>
          <w:lang w:val="en-US"/>
        </w:rPr>
        <w:t>影响力排名</w:t>
      </w:r>
      <w:r>
        <w:rPr>
          <w:rFonts w:hint="eastAsia" w:ascii="仿宋" w:hAnsi="仿宋" w:eastAsia="仿宋" w:cs="Arial"/>
          <w:lang w:val="en-US" w:eastAsia="zh-CN"/>
        </w:rPr>
        <w:t>第61位</w:t>
      </w:r>
    </w:p>
    <w:p w14:paraId="416CD928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就业率全新西兰排名第2，澳新地区排名第5</w:t>
      </w:r>
    </w:p>
    <w:p w14:paraId="57CF50A5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QS世界大学排名第2</w:t>
      </w:r>
      <w:r>
        <w:rPr>
          <w:rFonts w:hint="eastAsia" w:ascii="仿宋" w:hAnsi="仿宋" w:eastAsia="仿宋" w:cs="Arial"/>
          <w:lang w:val="en-US" w:eastAsia="zh-CN"/>
        </w:rPr>
        <w:t>61，相当于中国前十</w:t>
      </w:r>
    </w:p>
    <w:p w14:paraId="687841B4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QS世界专业排名显示，</w:t>
      </w:r>
      <w:r>
        <w:rPr>
          <w:rFonts w:hint="default" w:ascii="仿宋" w:hAnsi="仿宋" w:eastAsia="仿宋" w:cs="Arial"/>
        </w:rPr>
        <w:t>UC</w:t>
      </w:r>
      <w:r>
        <w:rPr>
          <w:rFonts w:hint="eastAsia" w:ascii="仿宋" w:hAnsi="仿宋" w:eastAsia="仿宋" w:cs="Arial"/>
          <w:lang w:val="en-US" w:eastAsia="zh-Hans"/>
        </w:rPr>
        <w:t>有</w:t>
      </w:r>
      <w:r>
        <w:rPr>
          <w:rFonts w:hint="eastAsia" w:ascii="仿宋" w:hAnsi="仿宋" w:eastAsia="仿宋" w:cs="Arial"/>
          <w:lang w:val="en-US"/>
        </w:rPr>
        <w:t>超过</w:t>
      </w:r>
      <w:r>
        <w:rPr>
          <w:rFonts w:hint="eastAsia" w:ascii="仿宋" w:hAnsi="仿宋" w:eastAsia="仿宋" w:cs="Arial"/>
          <w:lang w:val="en-US" w:eastAsia="zh-CN"/>
        </w:rPr>
        <w:t>30</w:t>
      </w:r>
      <w:r>
        <w:rPr>
          <w:rFonts w:hint="eastAsia" w:ascii="仿宋" w:hAnsi="仿宋" w:eastAsia="仿宋" w:cs="Arial"/>
          <w:lang w:val="en-US"/>
        </w:rPr>
        <w:t>个学科排在世界Top 250</w:t>
      </w:r>
    </w:p>
    <w:p w14:paraId="2B4ADA90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拥有新西兰历史最为悠久的工程学院和全球仅有1%拥有“三皇冠”头衔的商学院</w:t>
      </w:r>
    </w:p>
    <w:p w14:paraId="3804FC12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学校设施齐全，提供校内住宿</w:t>
      </w:r>
      <w:r>
        <w:rPr>
          <w:rFonts w:hint="eastAsia" w:ascii="仿宋" w:hAnsi="仿宋" w:eastAsia="仿宋" w:cs="Arial"/>
          <w:lang w:val="en-US" w:eastAsia="zh-CN"/>
        </w:rPr>
        <w:t>，全部单人单间</w:t>
      </w:r>
    </w:p>
    <w:p w14:paraId="3CEA6877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交通便利，距离基督城国际机场开车15分钟，距离市中心开车5分钟</w:t>
      </w:r>
    </w:p>
    <w:p w14:paraId="394B5848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位于新西兰南岛最大城市基督城，澳洲地区失业率最低的城市</w:t>
      </w:r>
    </w:p>
    <w:p w14:paraId="4EC2DC9A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就读期间可申请兼职工作，每周25小时，最低时薪近100人民币</w:t>
      </w:r>
    </w:p>
    <w:p w14:paraId="1136F38A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ascii="仿宋" w:hAnsi="仿宋" w:eastAsia="仿宋" w:cs="Arial"/>
          <w:lang w:val="en-US" w:eastAsia="zh-CN"/>
        </w:rPr>
        <w:t>便利的工签政策，即UC硕士毕业后可获得3年工签</w:t>
      </w:r>
    </w:p>
    <w:p w14:paraId="11985A0A">
      <w:pPr>
        <w:pStyle w:val="14"/>
        <w:numPr>
          <w:ilvl w:val="0"/>
          <w:numId w:val="4"/>
        </w:numPr>
        <w:spacing w:line="360" w:lineRule="auto"/>
        <w:rPr>
          <w:rFonts w:ascii="仿宋" w:hAnsi="仿宋" w:eastAsia="仿宋" w:cs="Arial"/>
          <w:sz w:val="21"/>
          <w:szCs w:val="21"/>
        </w:rPr>
      </w:pPr>
      <w:r>
        <w:rPr>
          <w:rFonts w:hint="eastAsia" w:ascii="仿宋" w:hAnsi="仿宋" w:eastAsia="仿宋" w:cs="Arial"/>
          <w:lang w:val="en-US"/>
        </w:rPr>
        <w:t>新西兰安全性全球第二，</w:t>
      </w:r>
      <w:r>
        <w:rPr>
          <w:rFonts w:hint="eastAsia" w:ascii="仿宋" w:hAnsi="仿宋" w:eastAsia="仿宋" w:cs="Arial"/>
          <w:lang w:val="en-US" w:eastAsia="zh-CN"/>
        </w:rPr>
        <w:t>未来</w:t>
      </w:r>
      <w:r>
        <w:rPr>
          <w:rFonts w:hint="eastAsia" w:ascii="仿宋" w:hAnsi="仿宋" w:eastAsia="仿宋" w:cs="Arial"/>
          <w:lang w:val="en-US"/>
        </w:rPr>
        <w:t>教育全球第一，自由度第一</w:t>
      </w:r>
    </w:p>
    <w:p w14:paraId="6313E9F0">
      <w:pPr>
        <w:pStyle w:val="14"/>
        <w:numPr>
          <w:ilvl w:val="0"/>
          <w:numId w:val="0"/>
        </w:numPr>
        <w:spacing w:line="360" w:lineRule="auto"/>
        <w:ind w:leftChars="0"/>
        <w:rPr>
          <w:rFonts w:ascii="仿宋" w:hAnsi="仿宋" w:eastAsia="仿宋" w:cs="Arial"/>
          <w:sz w:val="21"/>
          <w:szCs w:val="21"/>
        </w:rPr>
      </w:pPr>
    </w:p>
    <w:sectPr>
      <w:headerReference r:id="rId3" w:type="default"/>
      <w:footerReference r:id="rId4" w:type="default"/>
      <w:pgSz w:w="12240" w:h="15840"/>
      <w:pgMar w:top="1440" w:right="1800" w:bottom="1440" w:left="1800" w:header="737" w:footer="850" w:gutter="0"/>
      <w:cols w:space="0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687" w:usb1="00000013" w:usb2="00000000" w:usb3="00000000" w:csb0="2000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0D9C01">
    <w:pPr>
      <w:pStyle w:val="4"/>
      <w:spacing w:line="14" w:lineRule="auto"/>
      <w:rPr>
        <w:sz w:val="2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744F2C">
    <w:pPr>
      <w:pStyle w:val="4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DE9482"/>
    <w:multiLevelType w:val="singleLevel"/>
    <w:tmpl w:val="BFDE948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FCF7BC16"/>
    <w:multiLevelType w:val="singleLevel"/>
    <w:tmpl w:val="FCF7BC1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>
    <w:nsid w:val="FF5EF9B5"/>
    <w:multiLevelType w:val="singleLevel"/>
    <w:tmpl w:val="FF5EF9B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D6DEE0A"/>
    <w:multiLevelType w:val="singleLevel"/>
    <w:tmpl w:val="5D6DEE0A"/>
    <w:lvl w:ilvl="0" w:tentative="0">
      <w:start w:val="1"/>
      <w:numFmt w:val="bullet"/>
      <w:lvlText w:val="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balanceSingleByteDoubleByteWidth/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51A"/>
    <w:rsid w:val="00001D48"/>
    <w:rsid w:val="000249D0"/>
    <w:rsid w:val="0007554A"/>
    <w:rsid w:val="00086522"/>
    <w:rsid w:val="00126EC8"/>
    <w:rsid w:val="00173317"/>
    <w:rsid w:val="00181624"/>
    <w:rsid w:val="001A633D"/>
    <w:rsid w:val="001B7DB2"/>
    <w:rsid w:val="001D0B55"/>
    <w:rsid w:val="001F6F84"/>
    <w:rsid w:val="00233F0D"/>
    <w:rsid w:val="00276701"/>
    <w:rsid w:val="002A151A"/>
    <w:rsid w:val="002D4A26"/>
    <w:rsid w:val="00335AF8"/>
    <w:rsid w:val="00383BE4"/>
    <w:rsid w:val="003940D0"/>
    <w:rsid w:val="003E4B21"/>
    <w:rsid w:val="003F5AB3"/>
    <w:rsid w:val="00410B49"/>
    <w:rsid w:val="0048183C"/>
    <w:rsid w:val="005018C0"/>
    <w:rsid w:val="00506E4A"/>
    <w:rsid w:val="00536EF7"/>
    <w:rsid w:val="00541596"/>
    <w:rsid w:val="005918F1"/>
    <w:rsid w:val="005929A8"/>
    <w:rsid w:val="006525DC"/>
    <w:rsid w:val="006D265D"/>
    <w:rsid w:val="006D2CD0"/>
    <w:rsid w:val="00731F63"/>
    <w:rsid w:val="007419C6"/>
    <w:rsid w:val="007804BA"/>
    <w:rsid w:val="00796474"/>
    <w:rsid w:val="007A29CB"/>
    <w:rsid w:val="007B5637"/>
    <w:rsid w:val="008360BB"/>
    <w:rsid w:val="00865CC7"/>
    <w:rsid w:val="0089003E"/>
    <w:rsid w:val="00890F89"/>
    <w:rsid w:val="0089486D"/>
    <w:rsid w:val="008E142B"/>
    <w:rsid w:val="00902E47"/>
    <w:rsid w:val="00905571"/>
    <w:rsid w:val="00930BF7"/>
    <w:rsid w:val="0097339A"/>
    <w:rsid w:val="00990ED5"/>
    <w:rsid w:val="009A2851"/>
    <w:rsid w:val="009F00E6"/>
    <w:rsid w:val="009F7CFE"/>
    <w:rsid w:val="00AB45C8"/>
    <w:rsid w:val="00AE4C34"/>
    <w:rsid w:val="00B50E4D"/>
    <w:rsid w:val="00B86192"/>
    <w:rsid w:val="00BA70B2"/>
    <w:rsid w:val="00BB2EDD"/>
    <w:rsid w:val="00C3151E"/>
    <w:rsid w:val="00C437AF"/>
    <w:rsid w:val="00C57D35"/>
    <w:rsid w:val="00C6358F"/>
    <w:rsid w:val="00C74EBD"/>
    <w:rsid w:val="00C80D53"/>
    <w:rsid w:val="00C94D83"/>
    <w:rsid w:val="00CA1832"/>
    <w:rsid w:val="00CC5062"/>
    <w:rsid w:val="00CD5F2D"/>
    <w:rsid w:val="00D16920"/>
    <w:rsid w:val="00D350FE"/>
    <w:rsid w:val="00D51DAF"/>
    <w:rsid w:val="00D56959"/>
    <w:rsid w:val="00D73CAB"/>
    <w:rsid w:val="00DF7218"/>
    <w:rsid w:val="00ED792B"/>
    <w:rsid w:val="00EE6799"/>
    <w:rsid w:val="00F138CA"/>
    <w:rsid w:val="00F31E7D"/>
    <w:rsid w:val="00F51A1E"/>
    <w:rsid w:val="00FA1056"/>
    <w:rsid w:val="00FB59AB"/>
    <w:rsid w:val="00FD3F84"/>
    <w:rsid w:val="0227512A"/>
    <w:rsid w:val="059916A8"/>
    <w:rsid w:val="05D05C6F"/>
    <w:rsid w:val="0FFD83D1"/>
    <w:rsid w:val="1BC12FCD"/>
    <w:rsid w:val="1EEDDDAF"/>
    <w:rsid w:val="1EEFD040"/>
    <w:rsid w:val="1F775956"/>
    <w:rsid w:val="24537651"/>
    <w:rsid w:val="2FB7A54C"/>
    <w:rsid w:val="31626249"/>
    <w:rsid w:val="37716D51"/>
    <w:rsid w:val="3B3F93E3"/>
    <w:rsid w:val="3E5572C2"/>
    <w:rsid w:val="42D96648"/>
    <w:rsid w:val="4A6B6114"/>
    <w:rsid w:val="4C3D0CD4"/>
    <w:rsid w:val="4EBD9BC7"/>
    <w:rsid w:val="4F843694"/>
    <w:rsid w:val="53B5A07F"/>
    <w:rsid w:val="55F97148"/>
    <w:rsid w:val="56BE52E3"/>
    <w:rsid w:val="583F16D6"/>
    <w:rsid w:val="5AABEE5D"/>
    <w:rsid w:val="5E14051F"/>
    <w:rsid w:val="5FCF1E64"/>
    <w:rsid w:val="67572D83"/>
    <w:rsid w:val="6E3F0FFF"/>
    <w:rsid w:val="6F5EE61C"/>
    <w:rsid w:val="6FAB3F3E"/>
    <w:rsid w:val="6FDFCAF7"/>
    <w:rsid w:val="70FF89EE"/>
    <w:rsid w:val="74BE0FCF"/>
    <w:rsid w:val="756F99A2"/>
    <w:rsid w:val="765BA2D9"/>
    <w:rsid w:val="76FBB425"/>
    <w:rsid w:val="77DBABE5"/>
    <w:rsid w:val="77FFE473"/>
    <w:rsid w:val="78F92CC3"/>
    <w:rsid w:val="7A2523CB"/>
    <w:rsid w:val="7AFFD06C"/>
    <w:rsid w:val="7C4E2D84"/>
    <w:rsid w:val="7DB2C222"/>
    <w:rsid w:val="7DFB86BB"/>
    <w:rsid w:val="7ED59D22"/>
    <w:rsid w:val="7FBFE345"/>
    <w:rsid w:val="7FFD56BC"/>
    <w:rsid w:val="ADB39639"/>
    <w:rsid w:val="BBBD8E36"/>
    <w:rsid w:val="BBFF3588"/>
    <w:rsid w:val="BDBDC54A"/>
    <w:rsid w:val="D670E544"/>
    <w:rsid w:val="D73F9070"/>
    <w:rsid w:val="DBEFB1DA"/>
    <w:rsid w:val="DFBE5155"/>
    <w:rsid w:val="DFF39CA4"/>
    <w:rsid w:val="DFFE5BF6"/>
    <w:rsid w:val="EFEDADEA"/>
    <w:rsid w:val="EFFABC36"/>
    <w:rsid w:val="F3EFEB5A"/>
    <w:rsid w:val="F4BE910D"/>
    <w:rsid w:val="F64B35B3"/>
    <w:rsid w:val="F6EFC6CD"/>
    <w:rsid w:val="F7ABE295"/>
    <w:rsid w:val="F7F7FDD5"/>
    <w:rsid w:val="F9BF07BC"/>
    <w:rsid w:val="FF56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qFormat/>
    <w:uiPriority w:val="1"/>
    <w:pPr>
      <w:spacing w:before="54"/>
      <w:ind w:left="3121" w:right="3177"/>
      <w:jc w:val="center"/>
      <w:outlineLvl w:val="0"/>
    </w:pPr>
    <w:rPr>
      <w:rFonts w:ascii="Times New Roman" w:hAnsi="Times New Roman" w:eastAsia="Times New Roman" w:cs="Times New Roman"/>
      <w:b/>
      <w:bCs/>
      <w:sz w:val="32"/>
      <w:szCs w:val="32"/>
    </w:rPr>
  </w:style>
  <w:style w:type="paragraph" w:styleId="3">
    <w:name w:val="heading 2"/>
    <w:basedOn w:val="1"/>
    <w:next w:val="1"/>
    <w:qFormat/>
    <w:uiPriority w:val="1"/>
    <w:pPr>
      <w:spacing w:before="2"/>
      <w:ind w:left="20"/>
      <w:outlineLvl w:val="1"/>
    </w:pPr>
    <w:rPr>
      <w:rFonts w:ascii="Times New Roman" w:hAnsi="Times New Roman" w:eastAsia="Times New Roman" w:cs="Times New Roman"/>
      <w:sz w:val="24"/>
      <w:szCs w:val="24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8"/>
    <w:qFormat/>
    <w:uiPriority w:val="1"/>
    <w:rPr>
      <w:rFonts w:ascii="Arial" w:hAnsi="Arial" w:eastAsia="Arial" w:cs="Arial"/>
      <w:sz w:val="18"/>
      <w:szCs w:val="18"/>
    </w:rPr>
  </w:style>
  <w:style w:type="paragraph" w:styleId="5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table" w:customStyle="1" w:styleId="11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列出段落1"/>
    <w:basedOn w:val="1"/>
    <w:qFormat/>
    <w:uiPriority w:val="34"/>
  </w:style>
  <w:style w:type="paragraph" w:customStyle="1" w:styleId="13">
    <w:name w:val="Table Paragraph"/>
    <w:basedOn w:val="1"/>
    <w:qFormat/>
    <w:uiPriority w:val="1"/>
  </w:style>
  <w:style w:type="paragraph" w:customStyle="1" w:styleId="14">
    <w:name w:val="Default"/>
    <w:qFormat/>
    <w:uiPriority w:val="0"/>
    <w:pPr>
      <w:autoSpaceDE w:val="0"/>
      <w:autoSpaceDN w:val="0"/>
      <w:adjustRightInd w:val="0"/>
    </w:pPr>
    <w:rPr>
      <w:rFonts w:ascii="Comic Sans MS" w:hAnsi="Comic Sans MS" w:eastAsia="宋体" w:cs="Comic Sans MS"/>
      <w:color w:val="000000"/>
      <w:sz w:val="24"/>
      <w:szCs w:val="24"/>
      <w:lang w:val="en-AU" w:eastAsia="zh-CN" w:bidi="ar-SA"/>
    </w:rPr>
  </w:style>
  <w:style w:type="character" w:customStyle="1" w:styleId="15">
    <w:name w:val="页眉字符"/>
    <w:basedOn w:val="9"/>
    <w:link w:val="6"/>
    <w:qFormat/>
    <w:uiPriority w:val="0"/>
    <w:rPr>
      <w:rFonts w:ascii="宋体" w:hAnsi="宋体" w:cs="宋体"/>
      <w:sz w:val="18"/>
      <w:szCs w:val="18"/>
      <w:lang w:eastAsia="en-US" w:bidi="en-US"/>
    </w:rPr>
  </w:style>
  <w:style w:type="character" w:customStyle="1" w:styleId="16">
    <w:name w:val="页脚字符"/>
    <w:basedOn w:val="9"/>
    <w:link w:val="5"/>
    <w:qFormat/>
    <w:uiPriority w:val="0"/>
    <w:rPr>
      <w:rFonts w:ascii="宋体" w:hAnsi="宋体" w:cs="宋体"/>
      <w:sz w:val="18"/>
      <w:szCs w:val="18"/>
      <w:lang w:eastAsia="en-US" w:bidi="en-US"/>
    </w:rPr>
  </w:style>
  <w:style w:type="character" w:customStyle="1" w:styleId="17">
    <w:name w:val="apple-converted-space"/>
    <w:basedOn w:val="9"/>
    <w:qFormat/>
    <w:uiPriority w:val="0"/>
  </w:style>
  <w:style w:type="character" w:customStyle="1" w:styleId="18">
    <w:name w:val="正文文本字符"/>
    <w:basedOn w:val="9"/>
    <w:link w:val="4"/>
    <w:qFormat/>
    <w:uiPriority w:val="1"/>
    <w:rPr>
      <w:rFonts w:ascii="Arial" w:hAnsi="Arial" w:eastAsia="Arial" w:cs="Arial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1038</Words>
  <Characters>1125</Characters>
  <Lines>8</Lines>
  <Paragraphs>2</Paragraphs>
  <TotalTime>3</TotalTime>
  <ScaleCrop>false</ScaleCrop>
  <LinksUpToDate>false</LinksUpToDate>
  <CharactersWithSpaces>1137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2019-03-21T14:47:00Z</dcterms:created>
  <dc:creator>Yuchen Li</dc:creator>
  <cp:lastModifiedBy>李晓忆</cp:lastModifiedBy>
  <cp:lastPrinted>2020-02-21T10:39:00Z</cp:lastPrinted>
  <dcterms:modified xsi:type="dcterms:W3CDTF">2026-03-23T05:13:41Z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2018-05-17T00:00:00Z</vt:filetime>
  </property>
  <property fmtid="{D5CDD505-2E9C-101B-9397-08002B2CF9AE}" pid="5" name="KSOProductBuildVer">
    <vt:lpwstr>2052-12.1.0.25225</vt:lpwstr>
  </property>
  <property fmtid="{D5CDD505-2E9C-101B-9397-08002B2CF9AE}" pid="6" name="ICV">
    <vt:lpwstr>091CE429E2B5A9671496CA67FD40283E_43</vt:lpwstr>
  </property>
  <property fmtid="{D5CDD505-2E9C-101B-9397-08002B2CF9AE}" pid="7" name="KSOTemplateDocerSaveRecord">
    <vt:lpwstr>eyJoZGlkIjoiYjhlZWI4ZmM0NjhkZjY5ZmUzNjNlNTA1YmNjMTAyMjIiLCJ1c2VySWQiOiIxNTk4ODE2NTUwIn0=</vt:lpwstr>
  </property>
</Properties>
</file>